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70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CellMar>
          <w:left w:w="70" w:type="dxa"/>
          <w:right w:w="70" w:type="dxa"/>
        </w:tblCellMar>
        <w:tblLook w:val="04A0"/>
      </w:tblPr>
      <w:tblGrid>
        <w:gridCol w:w="10773"/>
      </w:tblGrid>
      <w:tr w:rsidR="00795F7C" w:rsidRPr="00820223" w:rsidTr="009D7E2D">
        <w:trPr>
          <w:trHeight w:val="312"/>
        </w:trPr>
        <w:tc>
          <w:tcPr>
            <w:tcW w:w="10773" w:type="dxa"/>
            <w:shd w:val="clear" w:color="auto" w:fill="31849B" w:themeFill="accent5" w:themeFillShade="BF"/>
            <w:noWrap/>
            <w:vAlign w:val="bottom"/>
          </w:tcPr>
          <w:p w:rsidR="00795F7C" w:rsidRDefault="00795F7C">
            <w:pPr>
              <w:spacing w:after="0"/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 xml:space="preserve">FICHA </w:t>
            </w:r>
            <w:r w:rsidR="00332975">
              <w:rPr>
                <w:b/>
                <w:color w:val="FFFFFF" w:themeColor="background1"/>
                <w:sz w:val="32"/>
              </w:rPr>
              <w:t xml:space="preserve">DE </w:t>
            </w:r>
            <w:r>
              <w:rPr>
                <w:b/>
                <w:color w:val="FFFFFF" w:themeColor="background1"/>
                <w:sz w:val="32"/>
              </w:rPr>
              <w:t xml:space="preserve">ACCIONES </w:t>
            </w:r>
            <w:r w:rsidR="000A1CD6">
              <w:rPr>
                <w:b/>
                <w:color w:val="FFFFFF" w:themeColor="background1"/>
                <w:sz w:val="32"/>
              </w:rPr>
              <w:t xml:space="preserve">TIPO </w:t>
            </w:r>
            <w:r w:rsidR="005D0DB5">
              <w:rPr>
                <w:b/>
                <w:color w:val="FFFFFF" w:themeColor="background1"/>
                <w:sz w:val="32"/>
              </w:rPr>
              <w:t>A</w:t>
            </w:r>
          </w:p>
          <w:p w:rsidR="00795F7C" w:rsidRPr="00795F7C" w:rsidRDefault="00957E19" w:rsidP="005D0DB5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</w:t>
            </w:r>
            <w:r w:rsidRPr="004435D4">
              <w:rPr>
                <w:b/>
                <w:color w:val="FFFFFF" w:themeColor="background1"/>
              </w:rPr>
              <w:t xml:space="preserve">strategia y planificación </w:t>
            </w:r>
            <w:r w:rsidR="00312DC5" w:rsidRPr="004435D4">
              <w:rPr>
                <w:b/>
                <w:color w:val="FFFFFF" w:themeColor="background1"/>
              </w:rPr>
              <w:t>(</w:t>
            </w:r>
            <w:r w:rsidR="00A35BCA" w:rsidRPr="004435D4">
              <w:rPr>
                <w:b/>
                <w:color w:val="FFFFFF" w:themeColor="background1"/>
              </w:rPr>
              <w:t>artículo</w:t>
            </w:r>
            <w:r w:rsidR="00312DC5" w:rsidRPr="004435D4">
              <w:rPr>
                <w:b/>
                <w:color w:val="FFFFFF" w:themeColor="background1"/>
              </w:rPr>
              <w:t xml:space="preserve"> </w:t>
            </w:r>
            <w:r w:rsidR="007E4873">
              <w:rPr>
                <w:b/>
                <w:color w:val="FFFFFF" w:themeColor="background1"/>
              </w:rPr>
              <w:t>7</w:t>
            </w:r>
            <w:r w:rsidR="00947F92" w:rsidRPr="004435D4">
              <w:rPr>
                <w:b/>
                <w:color w:val="FFFFFF" w:themeColor="background1"/>
              </w:rPr>
              <w:t>.</w:t>
            </w:r>
            <w:r w:rsidR="00312DC5" w:rsidRPr="004435D4">
              <w:rPr>
                <w:b/>
                <w:color w:val="FFFFFF" w:themeColor="background1"/>
              </w:rPr>
              <w:t>2</w:t>
            </w:r>
            <w:r w:rsidR="00864987" w:rsidRPr="004435D4">
              <w:rPr>
                <w:b/>
                <w:color w:val="FFFFFF" w:themeColor="background1"/>
              </w:rPr>
              <w:t>.</w:t>
            </w:r>
            <w:r w:rsidR="00312DC5" w:rsidRPr="004435D4">
              <w:rPr>
                <w:b/>
                <w:color w:val="FFFFFF" w:themeColor="background1"/>
              </w:rPr>
              <w:t>a de la convocatoria)</w:t>
            </w:r>
          </w:p>
        </w:tc>
      </w:tr>
      <w:tr w:rsidR="00795F7C" w:rsidRPr="00BC3C7B" w:rsidTr="009D7E2D">
        <w:trPr>
          <w:trHeight w:val="290"/>
        </w:trPr>
        <w:tc>
          <w:tcPr>
            <w:tcW w:w="10773" w:type="dxa"/>
            <w:shd w:val="clear" w:color="auto" w:fill="auto"/>
            <w:noWrap/>
            <w:vAlign w:val="center"/>
          </w:tcPr>
          <w:p w:rsidR="007E4873" w:rsidRDefault="00AE5F13" w:rsidP="004A2CF8">
            <w:pPr>
              <w:spacing w:after="12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  <w:r w:rsidR="005D0DB5" w:rsidRPr="00923B23">
              <w:rPr>
                <w:i/>
                <w:sz w:val="20"/>
                <w:szCs w:val="20"/>
              </w:rPr>
              <w:t xml:space="preserve">cción obligatoria para aquellos </w:t>
            </w:r>
            <w:r w:rsidR="008F2D12">
              <w:rPr>
                <w:i/>
                <w:sz w:val="20"/>
                <w:szCs w:val="20"/>
              </w:rPr>
              <w:t>proyectos</w:t>
            </w:r>
            <w:r w:rsidR="008F2D12" w:rsidRPr="00923B23">
              <w:rPr>
                <w:i/>
                <w:sz w:val="20"/>
                <w:szCs w:val="20"/>
              </w:rPr>
              <w:t xml:space="preserve"> </w:t>
            </w:r>
            <w:r w:rsidR="005D0DB5" w:rsidRPr="00923B23">
              <w:rPr>
                <w:i/>
                <w:sz w:val="20"/>
                <w:szCs w:val="20"/>
              </w:rPr>
              <w:t xml:space="preserve">que no dispongan de un plan o una estrategia </w:t>
            </w:r>
            <w:r w:rsidR="004435D4" w:rsidRPr="00923B23">
              <w:rPr>
                <w:i/>
                <w:sz w:val="20"/>
                <w:szCs w:val="20"/>
              </w:rPr>
              <w:t>en la que se enmarcan</w:t>
            </w:r>
            <w:r w:rsidR="005D0DB5" w:rsidRPr="00923B23">
              <w:rPr>
                <w:i/>
                <w:sz w:val="20"/>
                <w:szCs w:val="20"/>
              </w:rPr>
              <w:t xml:space="preserve"> la</w:t>
            </w:r>
            <w:r w:rsidR="004435D4" w:rsidRPr="00923B23">
              <w:rPr>
                <w:i/>
                <w:sz w:val="20"/>
                <w:szCs w:val="20"/>
              </w:rPr>
              <w:t>/s acción/es Tipo B</w:t>
            </w:r>
            <w:r w:rsidR="00A11B58" w:rsidRPr="00923B23">
              <w:rPr>
                <w:i/>
                <w:sz w:val="20"/>
                <w:szCs w:val="20"/>
              </w:rPr>
              <w:t>, o bien sea necesario revisar/actualizar un</w:t>
            </w:r>
            <w:r w:rsidR="004C3BAC">
              <w:rPr>
                <w:i/>
                <w:sz w:val="20"/>
                <w:szCs w:val="20"/>
              </w:rPr>
              <w:t xml:space="preserve"> plan o estrategia</w:t>
            </w:r>
            <w:r w:rsidR="00A11B58" w:rsidRPr="00923B23">
              <w:rPr>
                <w:i/>
                <w:sz w:val="20"/>
                <w:szCs w:val="20"/>
              </w:rPr>
              <w:t xml:space="preserve"> existente</w:t>
            </w:r>
            <w:r w:rsidR="00DA3429">
              <w:rPr>
                <w:i/>
                <w:sz w:val="20"/>
                <w:szCs w:val="20"/>
              </w:rPr>
              <w:t xml:space="preserve"> (</w:t>
            </w:r>
            <w:r w:rsidR="004C3BAC">
              <w:rPr>
                <w:i/>
                <w:sz w:val="20"/>
                <w:szCs w:val="20"/>
              </w:rPr>
              <w:t>necesario si tiene más de 5 años</w:t>
            </w:r>
            <w:r w:rsidR="00DA3429">
              <w:rPr>
                <w:i/>
                <w:sz w:val="20"/>
                <w:szCs w:val="20"/>
              </w:rPr>
              <w:t>)</w:t>
            </w:r>
            <w:r w:rsidR="00534A30" w:rsidRPr="00F80FD6">
              <w:rPr>
                <w:i/>
                <w:sz w:val="20"/>
                <w:szCs w:val="20"/>
              </w:rPr>
              <w:t>.</w:t>
            </w:r>
            <w:r w:rsidR="000A1CD6" w:rsidRPr="00F80FD6">
              <w:rPr>
                <w:i/>
                <w:sz w:val="20"/>
                <w:szCs w:val="20"/>
              </w:rPr>
              <w:t xml:space="preserve"> </w:t>
            </w:r>
          </w:p>
          <w:p w:rsidR="004A2CF8" w:rsidRDefault="000A1CD6" w:rsidP="004A2CF8">
            <w:pPr>
              <w:spacing w:after="120" w:line="240" w:lineRule="auto"/>
              <w:jc w:val="both"/>
              <w:rPr>
                <w:i/>
                <w:sz w:val="20"/>
                <w:szCs w:val="20"/>
              </w:rPr>
            </w:pPr>
            <w:r w:rsidRPr="00923B23">
              <w:rPr>
                <w:i/>
                <w:sz w:val="20"/>
                <w:szCs w:val="20"/>
              </w:rPr>
              <w:t>En caso de</w:t>
            </w:r>
            <w:r w:rsidR="004435D4" w:rsidRPr="00923B23">
              <w:rPr>
                <w:i/>
                <w:sz w:val="20"/>
                <w:szCs w:val="20"/>
              </w:rPr>
              <w:t xml:space="preserve"> existir</w:t>
            </w:r>
            <w:r w:rsidR="007E4873">
              <w:rPr>
                <w:i/>
                <w:sz w:val="20"/>
                <w:szCs w:val="20"/>
              </w:rPr>
              <w:t xml:space="preserve"> </w:t>
            </w:r>
            <w:r w:rsidR="004435D4" w:rsidRPr="00923B23">
              <w:rPr>
                <w:i/>
                <w:sz w:val="20"/>
                <w:szCs w:val="20"/>
              </w:rPr>
              <w:t xml:space="preserve">un documento estratégico </w:t>
            </w:r>
            <w:r w:rsidR="004A2CF8">
              <w:rPr>
                <w:i/>
                <w:sz w:val="20"/>
                <w:szCs w:val="20"/>
              </w:rPr>
              <w:t xml:space="preserve">previo </w:t>
            </w:r>
            <w:r w:rsidR="004435D4" w:rsidRPr="00923B23">
              <w:rPr>
                <w:i/>
                <w:sz w:val="20"/>
                <w:szCs w:val="20"/>
              </w:rPr>
              <w:t xml:space="preserve">que enmarca la realización del proyecto en los términos que indica el art. </w:t>
            </w:r>
            <w:r w:rsidR="007E4873">
              <w:rPr>
                <w:i/>
                <w:sz w:val="20"/>
                <w:szCs w:val="20"/>
              </w:rPr>
              <w:t>7</w:t>
            </w:r>
            <w:r w:rsidR="004435D4" w:rsidRPr="00923B23">
              <w:rPr>
                <w:i/>
                <w:sz w:val="20"/>
                <w:szCs w:val="20"/>
              </w:rPr>
              <w:t xml:space="preserve">.2.a) de la </w:t>
            </w:r>
            <w:r w:rsidR="004A2CF8">
              <w:rPr>
                <w:i/>
                <w:sz w:val="20"/>
                <w:szCs w:val="20"/>
              </w:rPr>
              <w:t>c</w:t>
            </w:r>
            <w:r w:rsidR="004435D4" w:rsidRPr="00923B23">
              <w:rPr>
                <w:i/>
                <w:sz w:val="20"/>
                <w:szCs w:val="20"/>
              </w:rPr>
              <w:t>onvocatoria</w:t>
            </w:r>
            <w:r w:rsidR="00F80FD6">
              <w:rPr>
                <w:i/>
                <w:sz w:val="20"/>
                <w:szCs w:val="20"/>
              </w:rPr>
              <w:t xml:space="preserve"> para las acciones tipo A</w:t>
            </w:r>
            <w:r w:rsidRPr="00923B23">
              <w:rPr>
                <w:i/>
                <w:sz w:val="20"/>
                <w:szCs w:val="20"/>
              </w:rPr>
              <w:t xml:space="preserve">, </w:t>
            </w:r>
            <w:r w:rsidR="004435D4" w:rsidRPr="00923B23">
              <w:rPr>
                <w:i/>
                <w:sz w:val="20"/>
                <w:szCs w:val="20"/>
              </w:rPr>
              <w:t xml:space="preserve">se </w:t>
            </w:r>
            <w:r w:rsidRPr="00923B23">
              <w:rPr>
                <w:i/>
                <w:sz w:val="20"/>
                <w:szCs w:val="20"/>
              </w:rPr>
              <w:t xml:space="preserve">deberá completar el formulario específico habilitado </w:t>
            </w:r>
            <w:r w:rsidR="008F2D12">
              <w:rPr>
                <w:i/>
                <w:sz w:val="20"/>
                <w:szCs w:val="20"/>
              </w:rPr>
              <w:t>para este fin</w:t>
            </w:r>
            <w:r w:rsidR="00D24E7C">
              <w:rPr>
                <w:i/>
                <w:sz w:val="20"/>
                <w:szCs w:val="20"/>
              </w:rPr>
              <w:t xml:space="preserve">. </w:t>
            </w:r>
          </w:p>
          <w:p w:rsidR="00F05F4A" w:rsidRDefault="00F05F4A" w:rsidP="004A2CF8">
            <w:pPr>
              <w:spacing w:after="12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En caso de presentar varias acciones A</w:t>
            </w:r>
            <w:r w:rsidR="004A2CF8">
              <w:rPr>
                <w:i/>
                <w:sz w:val="20"/>
                <w:szCs w:val="20"/>
              </w:rPr>
              <w:t>, se</w:t>
            </w:r>
            <w:r>
              <w:rPr>
                <w:i/>
                <w:sz w:val="20"/>
                <w:szCs w:val="20"/>
              </w:rPr>
              <w:t xml:space="preserve"> d</w:t>
            </w:r>
            <w:r w:rsidRPr="00814C23">
              <w:rPr>
                <w:i/>
                <w:sz w:val="20"/>
                <w:szCs w:val="20"/>
              </w:rPr>
              <w:t>eberá copiar y pegar el cuadro descriptivo de la acción que aparece a continuación tantas veces como acciones vaya a desarrolla</w:t>
            </w:r>
            <w:r>
              <w:rPr>
                <w:i/>
                <w:sz w:val="20"/>
                <w:szCs w:val="20"/>
              </w:rPr>
              <w:t xml:space="preserve">r </w:t>
            </w:r>
            <w:r w:rsidR="006A73A3">
              <w:rPr>
                <w:i/>
                <w:sz w:val="20"/>
                <w:szCs w:val="20"/>
              </w:rPr>
              <w:t>(A1, A2</w:t>
            </w:r>
            <w:proofErr w:type="gramStart"/>
            <w:r w:rsidR="006A73A3">
              <w:rPr>
                <w:i/>
                <w:sz w:val="20"/>
                <w:szCs w:val="20"/>
              </w:rPr>
              <w:t>, …</w:t>
            </w:r>
            <w:proofErr w:type="gramEnd"/>
            <w:r w:rsidR="006A73A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6A73A3">
              <w:rPr>
                <w:i/>
                <w:sz w:val="20"/>
                <w:szCs w:val="20"/>
              </w:rPr>
              <w:t>An</w:t>
            </w:r>
            <w:proofErr w:type="spellEnd"/>
            <w:r w:rsidR="006A73A3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>. S</w:t>
            </w:r>
            <w:r w:rsidRPr="00923B23">
              <w:rPr>
                <w:i/>
                <w:sz w:val="20"/>
                <w:szCs w:val="20"/>
              </w:rPr>
              <w:t xml:space="preserve">e limita la extensión de </w:t>
            </w:r>
            <w:r>
              <w:rPr>
                <w:i/>
                <w:sz w:val="20"/>
                <w:szCs w:val="20"/>
              </w:rPr>
              <w:t xml:space="preserve">cada acción </w:t>
            </w:r>
            <w:r w:rsidR="004435D4" w:rsidRPr="00923B23">
              <w:rPr>
                <w:i/>
                <w:sz w:val="20"/>
                <w:szCs w:val="20"/>
              </w:rPr>
              <w:t xml:space="preserve">a un máximo de 3 páginas </w:t>
            </w:r>
            <w:r w:rsidR="0016546A" w:rsidRPr="0016546A">
              <w:rPr>
                <w:i/>
                <w:sz w:val="20"/>
                <w:szCs w:val="20"/>
              </w:rPr>
              <w:t xml:space="preserve">excluida la extensión de </w:t>
            </w:r>
            <w:r w:rsidR="00DA2CB2" w:rsidRPr="00F80FD6">
              <w:rPr>
                <w:i/>
                <w:sz w:val="20"/>
                <w:szCs w:val="20"/>
              </w:rPr>
              <w:t>cada respectiva</w:t>
            </w:r>
            <w:r w:rsidR="00DA2CB2">
              <w:rPr>
                <w:i/>
                <w:sz w:val="20"/>
                <w:szCs w:val="20"/>
              </w:rPr>
              <w:t xml:space="preserve"> </w:t>
            </w:r>
            <w:r w:rsidR="0016546A" w:rsidRPr="0016546A">
              <w:rPr>
                <w:i/>
                <w:sz w:val="20"/>
                <w:szCs w:val="20"/>
              </w:rPr>
              <w:t>tabla de resultados</w:t>
            </w:r>
            <w:r w:rsidR="00236F93">
              <w:rPr>
                <w:i/>
                <w:sz w:val="20"/>
                <w:szCs w:val="20"/>
              </w:rPr>
              <w:t xml:space="preserve"> e</w:t>
            </w:r>
            <w:r w:rsidR="0016546A" w:rsidRPr="0016546A">
              <w:rPr>
                <w:i/>
                <w:sz w:val="20"/>
                <w:szCs w:val="20"/>
              </w:rPr>
              <w:t xml:space="preserve"> indicadores</w:t>
            </w:r>
            <w:r>
              <w:rPr>
                <w:i/>
                <w:sz w:val="20"/>
                <w:szCs w:val="20"/>
              </w:rPr>
              <w:t xml:space="preserve">. </w:t>
            </w:r>
          </w:p>
          <w:p w:rsidR="005D0DB5" w:rsidRPr="00F05F4A" w:rsidRDefault="004435D4" w:rsidP="00F05F4A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23B23">
              <w:rPr>
                <w:i/>
                <w:sz w:val="20"/>
                <w:szCs w:val="20"/>
              </w:rPr>
              <w:t>Tipo de letra Calibri, tamaño 1</w:t>
            </w:r>
            <w:r w:rsidR="001618E0">
              <w:rPr>
                <w:i/>
                <w:sz w:val="20"/>
                <w:szCs w:val="20"/>
              </w:rPr>
              <w:t>0</w:t>
            </w:r>
            <w:r w:rsidRPr="00923B23">
              <w:rPr>
                <w:i/>
                <w:sz w:val="20"/>
                <w:szCs w:val="20"/>
              </w:rPr>
              <w:t>, interlineado sencillo.</w:t>
            </w:r>
          </w:p>
        </w:tc>
      </w:tr>
    </w:tbl>
    <w:p w:rsidR="00F60B2D" w:rsidRDefault="00F60B2D"/>
    <w:p w:rsidR="00DF78D3" w:rsidRDefault="00DF78D3">
      <w:r>
        <w:br w:type="page"/>
      </w:r>
    </w:p>
    <w:p w:rsidR="00DF78D3" w:rsidRDefault="00DF78D3"/>
    <w:tbl>
      <w:tblPr>
        <w:tblW w:w="10660" w:type="dxa"/>
        <w:tblInd w:w="108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/>
      </w:tblPr>
      <w:tblGrid>
        <w:gridCol w:w="845"/>
        <w:gridCol w:w="2161"/>
        <w:gridCol w:w="1892"/>
        <w:gridCol w:w="5762"/>
      </w:tblGrid>
      <w:tr w:rsidR="00251194" w:rsidRPr="001618E0" w:rsidTr="004E36AE">
        <w:trPr>
          <w:trHeight w:val="20"/>
        </w:trPr>
        <w:tc>
          <w:tcPr>
            <w:tcW w:w="845" w:type="dxa"/>
            <w:shd w:val="clear" w:color="auto" w:fill="31849B" w:themeFill="accent5" w:themeFillShade="BF"/>
            <w:vAlign w:val="center"/>
          </w:tcPr>
          <w:p w:rsidR="00251194" w:rsidRPr="00EE0615" w:rsidRDefault="00251194" w:rsidP="00DF6A15">
            <w:pPr>
              <w:keepNext/>
              <w:spacing w:after="0" w:line="240" w:lineRule="auto"/>
              <w:ind w:left="28" w:right="28"/>
              <w:jc w:val="both"/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12165940"/>
            <w:r w:rsidRPr="00EE0615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>Código</w:t>
            </w:r>
          </w:p>
        </w:tc>
        <w:tc>
          <w:tcPr>
            <w:tcW w:w="9815" w:type="dxa"/>
            <w:gridSpan w:val="3"/>
            <w:shd w:val="clear" w:color="auto" w:fill="31849B" w:themeFill="accent5" w:themeFillShade="BF"/>
          </w:tcPr>
          <w:p w:rsidR="00251194" w:rsidRPr="00EE0615" w:rsidRDefault="00251194" w:rsidP="00DF6A15">
            <w:pPr>
              <w:keepNext/>
              <w:spacing w:after="0" w:line="240" w:lineRule="auto"/>
              <w:ind w:left="28" w:right="28"/>
              <w:jc w:val="both"/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</w:pPr>
            <w:r w:rsidRPr="00EE0615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>Título de la acción:</w:t>
            </w:r>
          </w:p>
        </w:tc>
      </w:tr>
      <w:tr w:rsidR="00AE6BE1" w:rsidRPr="001618E0" w:rsidTr="00273F8D">
        <w:trPr>
          <w:trHeight w:val="424"/>
        </w:trPr>
        <w:tc>
          <w:tcPr>
            <w:tcW w:w="845" w:type="dxa"/>
            <w:shd w:val="clear" w:color="auto" w:fill="215868" w:themeFill="accent5" w:themeFillShade="80"/>
            <w:vAlign w:val="center"/>
          </w:tcPr>
          <w:p w:rsidR="00AE6BE1" w:rsidRPr="001618E0" w:rsidRDefault="00AE6BE1" w:rsidP="00DF6A15">
            <w:pPr>
              <w:keepNext/>
              <w:spacing w:after="0" w:line="240" w:lineRule="auto"/>
              <w:jc w:val="center"/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</w:pPr>
            <w:r w:rsidRPr="001618E0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>A</w:t>
            </w:r>
            <w:r w:rsidR="00EC5E5F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815" w:type="dxa"/>
            <w:gridSpan w:val="3"/>
            <w:shd w:val="clear" w:color="auto" w:fill="auto"/>
          </w:tcPr>
          <w:p w:rsidR="00AE6BE1" w:rsidRPr="00DF78D3" w:rsidRDefault="00DF78D3" w:rsidP="00DF6A15">
            <w:pPr>
              <w:keepNext/>
              <w:spacing w:after="0" w:line="240" w:lineRule="auto"/>
              <w:rPr>
                <w:rFonts w:eastAsia="Calibri" w:cs="Times New Roman"/>
                <w:bCs/>
                <w:iCs/>
                <w:color w:val="FFFFFF" w:themeColor="background1"/>
                <w:sz w:val="20"/>
                <w:szCs w:val="20"/>
              </w:rPr>
            </w:pPr>
            <w:r w:rsidRPr="00DF78D3">
              <w:rPr>
                <w:rFonts w:eastAsia="Calibri" w:cs="Times New Roman"/>
                <w:bCs/>
                <w:iCs/>
                <w:sz w:val="20"/>
                <w:szCs w:val="20"/>
              </w:rPr>
              <w:t>Elaboración</w:t>
            </w:r>
            <w:r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 del Plan </w:t>
            </w:r>
            <w:r w:rsidR="000950E2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Estratégico </w:t>
            </w:r>
            <w:r>
              <w:rPr>
                <w:rFonts w:eastAsia="Calibri" w:cs="Times New Roman"/>
                <w:bCs/>
                <w:iCs/>
                <w:sz w:val="20"/>
                <w:szCs w:val="20"/>
              </w:rPr>
              <w:t>de Infraestructura Verde y Azul de Andújar</w:t>
            </w:r>
          </w:p>
        </w:tc>
      </w:tr>
      <w:tr w:rsidR="00A11B58" w:rsidRPr="001618E0" w:rsidTr="00457D3D">
        <w:trPr>
          <w:trHeight w:val="324"/>
        </w:trPr>
        <w:tc>
          <w:tcPr>
            <w:tcW w:w="10660" w:type="dxa"/>
            <w:gridSpan w:val="4"/>
            <w:shd w:val="clear" w:color="auto" w:fill="31849B" w:themeFill="accent5" w:themeFillShade="BF"/>
            <w:vAlign w:val="center"/>
          </w:tcPr>
          <w:p w:rsidR="00A11B58" w:rsidRPr="001618E0" w:rsidRDefault="00A11B58" w:rsidP="00DF6A15">
            <w:pPr>
              <w:spacing w:after="0" w:line="240" w:lineRule="auto"/>
              <w:ind w:left="28" w:right="28"/>
              <w:jc w:val="both"/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</w:pPr>
            <w:r w:rsidRPr="001618E0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>Breve justificación de la necesidad de la acción</w:t>
            </w:r>
            <w:r w:rsidR="008F2D12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2710BE" w:rsidRPr="001618E0" w:rsidTr="00273F8D">
        <w:trPr>
          <w:trHeight w:val="506"/>
        </w:trPr>
        <w:tc>
          <w:tcPr>
            <w:tcW w:w="10660" w:type="dxa"/>
            <w:gridSpan w:val="4"/>
          </w:tcPr>
          <w:p w:rsidR="002B687E" w:rsidRDefault="00E84674" w:rsidP="003140FF">
            <w:pPr>
              <w:spacing w:after="12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 xml:space="preserve">Andújar lleva </w:t>
            </w:r>
            <w:r w:rsidR="00EC3BD4">
              <w:rPr>
                <w:rFonts w:eastAsia="Calibri" w:cs="Times New Roman"/>
                <w:iCs/>
                <w:sz w:val="20"/>
                <w:szCs w:val="20"/>
              </w:rPr>
              <w:t>décadas acome</w:t>
            </w:r>
            <w:r>
              <w:rPr>
                <w:rFonts w:eastAsia="Calibri" w:cs="Times New Roman"/>
                <w:iCs/>
                <w:sz w:val="20"/>
                <w:szCs w:val="20"/>
              </w:rPr>
              <w:t xml:space="preserve">tiendo </w:t>
            </w:r>
            <w:r w:rsidR="00EC3BD4">
              <w:rPr>
                <w:rFonts w:eastAsia="Calibri" w:cs="Times New Roman"/>
                <w:iCs/>
                <w:sz w:val="20"/>
                <w:szCs w:val="20"/>
              </w:rPr>
              <w:t>labores de incremento y mejora de su infraestruc</w:t>
            </w:r>
            <w:r w:rsidR="003D0BF5">
              <w:rPr>
                <w:rFonts w:eastAsia="Calibri" w:cs="Times New Roman"/>
                <w:iCs/>
                <w:sz w:val="20"/>
                <w:szCs w:val="20"/>
              </w:rPr>
              <w:t>tura verde</w:t>
            </w:r>
            <w:r w:rsidR="00EF220F">
              <w:rPr>
                <w:rFonts w:eastAsia="Calibri" w:cs="Times New Roman"/>
                <w:iCs/>
                <w:sz w:val="20"/>
                <w:szCs w:val="20"/>
              </w:rPr>
              <w:t xml:space="preserve"> (IV)</w:t>
            </w:r>
            <w:r w:rsidR="003D0BF5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8433DE">
              <w:rPr>
                <w:rFonts w:eastAsia="Calibri" w:cs="Times New Roman"/>
                <w:iCs/>
                <w:sz w:val="20"/>
                <w:szCs w:val="20"/>
              </w:rPr>
              <w:t>urbana</w:t>
            </w:r>
            <w:r w:rsidR="008B10ED">
              <w:rPr>
                <w:rFonts w:eastAsia="Calibri" w:cs="Times New Roman"/>
                <w:iCs/>
                <w:sz w:val="20"/>
                <w:szCs w:val="20"/>
              </w:rPr>
              <w:t>;</w:t>
            </w:r>
            <w:r w:rsidR="00E16B7B">
              <w:rPr>
                <w:rFonts w:eastAsia="Calibri" w:cs="Times New Roman"/>
                <w:iCs/>
                <w:sz w:val="20"/>
                <w:szCs w:val="20"/>
              </w:rPr>
              <w:t xml:space="preserve"> unos esfuerzos que han ido acompañados de un</w:t>
            </w:r>
            <w:r w:rsidR="008433DE">
              <w:rPr>
                <w:rFonts w:eastAsia="Calibri" w:cs="Times New Roman"/>
                <w:iCs/>
                <w:sz w:val="20"/>
                <w:szCs w:val="20"/>
              </w:rPr>
              <w:t>a</w:t>
            </w:r>
            <w:r w:rsidR="00E16B7B">
              <w:rPr>
                <w:rFonts w:eastAsia="Calibri" w:cs="Times New Roman"/>
                <w:iCs/>
                <w:sz w:val="20"/>
                <w:szCs w:val="20"/>
              </w:rPr>
              <w:t xml:space="preserve"> constante puesta en valor de </w:t>
            </w:r>
            <w:r w:rsidR="00D167BA">
              <w:rPr>
                <w:rFonts w:eastAsia="Calibri" w:cs="Times New Roman"/>
                <w:iCs/>
                <w:sz w:val="20"/>
                <w:szCs w:val="20"/>
              </w:rPr>
              <w:t>sus</w:t>
            </w:r>
            <w:r w:rsidR="00E16B7B">
              <w:rPr>
                <w:rFonts w:eastAsia="Calibri" w:cs="Times New Roman"/>
                <w:iCs/>
                <w:sz w:val="20"/>
                <w:szCs w:val="20"/>
              </w:rPr>
              <w:t xml:space="preserve"> dos grandes</w:t>
            </w:r>
            <w:r w:rsidR="003337F5">
              <w:rPr>
                <w:rFonts w:eastAsia="Calibri" w:cs="Times New Roman"/>
                <w:iCs/>
                <w:sz w:val="20"/>
                <w:szCs w:val="20"/>
              </w:rPr>
              <w:t xml:space="preserve"> activos naturales: el río Guadalquivir y la Sierra de Andújar. </w:t>
            </w:r>
            <w:r w:rsidR="002D5C1D">
              <w:rPr>
                <w:rFonts w:eastAsia="Calibri" w:cs="Times New Roman"/>
                <w:iCs/>
                <w:sz w:val="20"/>
                <w:szCs w:val="20"/>
              </w:rPr>
              <w:t>No obstante</w:t>
            </w:r>
            <w:r w:rsidR="005D6C0A">
              <w:rPr>
                <w:rFonts w:eastAsia="Calibri" w:cs="Times New Roman"/>
                <w:iCs/>
                <w:sz w:val="20"/>
                <w:szCs w:val="20"/>
              </w:rPr>
              <w:t xml:space="preserve">, estas </w:t>
            </w:r>
            <w:r w:rsidR="002A373D">
              <w:rPr>
                <w:rFonts w:eastAsia="Calibri" w:cs="Times New Roman"/>
                <w:iCs/>
                <w:sz w:val="20"/>
                <w:szCs w:val="20"/>
              </w:rPr>
              <w:t xml:space="preserve">intervenciones </w:t>
            </w:r>
            <w:r w:rsidR="005D6C0A">
              <w:rPr>
                <w:rFonts w:eastAsia="Calibri" w:cs="Times New Roman"/>
                <w:iCs/>
                <w:sz w:val="20"/>
                <w:szCs w:val="20"/>
              </w:rPr>
              <w:t xml:space="preserve">se han ido </w:t>
            </w:r>
            <w:r w:rsidR="00777B52">
              <w:rPr>
                <w:rFonts w:eastAsia="Calibri" w:cs="Times New Roman"/>
                <w:iCs/>
                <w:sz w:val="20"/>
                <w:szCs w:val="20"/>
              </w:rPr>
              <w:t>ejecutando</w:t>
            </w:r>
            <w:r w:rsidR="005D6C0A">
              <w:rPr>
                <w:rFonts w:eastAsia="Calibri" w:cs="Times New Roman"/>
                <w:iCs/>
                <w:sz w:val="20"/>
                <w:szCs w:val="20"/>
              </w:rPr>
              <w:t xml:space="preserve"> de manera desagregada </w:t>
            </w:r>
            <w:r w:rsidR="001B1C86">
              <w:rPr>
                <w:rFonts w:eastAsia="Calibri" w:cs="Times New Roman"/>
                <w:iCs/>
                <w:sz w:val="20"/>
                <w:szCs w:val="20"/>
              </w:rPr>
              <w:t>e inconexa, sin un</w:t>
            </w:r>
            <w:r w:rsidR="00F6675C">
              <w:rPr>
                <w:rFonts w:eastAsia="Calibri" w:cs="Times New Roman"/>
                <w:iCs/>
                <w:sz w:val="20"/>
                <w:szCs w:val="20"/>
              </w:rPr>
              <w:t xml:space="preserve"> instrumento específico </w:t>
            </w:r>
            <w:r w:rsidR="00EF220F">
              <w:rPr>
                <w:rFonts w:eastAsia="Calibri" w:cs="Times New Roman"/>
                <w:iCs/>
                <w:sz w:val="20"/>
                <w:szCs w:val="20"/>
              </w:rPr>
              <w:t xml:space="preserve">que rigiese </w:t>
            </w:r>
            <w:r w:rsidR="00F11EDE">
              <w:rPr>
                <w:rFonts w:eastAsia="Calibri" w:cs="Times New Roman"/>
                <w:iCs/>
                <w:sz w:val="20"/>
                <w:szCs w:val="20"/>
              </w:rPr>
              <w:t xml:space="preserve">la toma de decisiones o </w:t>
            </w:r>
            <w:r w:rsidR="00F6675C">
              <w:rPr>
                <w:rFonts w:eastAsia="Calibri" w:cs="Times New Roman"/>
                <w:iCs/>
                <w:sz w:val="20"/>
                <w:szCs w:val="20"/>
              </w:rPr>
              <w:t xml:space="preserve">que </w:t>
            </w:r>
            <w:r w:rsidR="00777B52">
              <w:rPr>
                <w:rFonts w:eastAsia="Calibri" w:cs="Times New Roman"/>
                <w:iCs/>
                <w:sz w:val="20"/>
                <w:szCs w:val="20"/>
              </w:rPr>
              <w:t>fundament</w:t>
            </w:r>
            <w:r w:rsidR="009755FE">
              <w:rPr>
                <w:rFonts w:eastAsia="Calibri" w:cs="Times New Roman"/>
                <w:iCs/>
                <w:sz w:val="20"/>
                <w:szCs w:val="20"/>
              </w:rPr>
              <w:t>as</w:t>
            </w:r>
            <w:r w:rsidR="00777B52">
              <w:rPr>
                <w:rFonts w:eastAsia="Calibri" w:cs="Times New Roman"/>
                <w:iCs/>
                <w:sz w:val="20"/>
                <w:szCs w:val="20"/>
              </w:rPr>
              <w:t>e</w:t>
            </w:r>
            <w:r w:rsidR="00F11EDE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8B7C44">
              <w:rPr>
                <w:rFonts w:eastAsia="Calibri" w:cs="Times New Roman"/>
                <w:iCs/>
                <w:sz w:val="20"/>
                <w:szCs w:val="20"/>
              </w:rPr>
              <w:t xml:space="preserve">las intervenciones </w:t>
            </w:r>
            <w:r w:rsidR="009755FE">
              <w:rPr>
                <w:rFonts w:eastAsia="Calibri" w:cs="Times New Roman"/>
                <w:iCs/>
                <w:sz w:val="20"/>
                <w:szCs w:val="20"/>
              </w:rPr>
              <w:t>de en materia de</w:t>
            </w:r>
            <w:r w:rsidR="008B7C44">
              <w:rPr>
                <w:rFonts w:eastAsia="Calibri" w:cs="Times New Roman"/>
                <w:iCs/>
                <w:sz w:val="20"/>
                <w:szCs w:val="20"/>
              </w:rPr>
              <w:t xml:space="preserve"> IV</w:t>
            </w:r>
            <w:r w:rsidR="004F4065">
              <w:rPr>
                <w:rFonts w:eastAsia="Calibri" w:cs="Times New Roman"/>
                <w:iCs/>
                <w:sz w:val="20"/>
                <w:szCs w:val="20"/>
              </w:rPr>
              <w:t>.</w:t>
            </w:r>
            <w:r w:rsidR="003147F4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53779C">
              <w:rPr>
                <w:rFonts w:eastAsia="Calibri" w:cs="Times New Roman"/>
                <w:iCs/>
                <w:sz w:val="20"/>
                <w:szCs w:val="20"/>
              </w:rPr>
              <w:t>A pesar de que</w:t>
            </w:r>
            <w:r w:rsidR="00FF4948">
              <w:rPr>
                <w:rFonts w:eastAsia="Calibri" w:cs="Times New Roman"/>
                <w:iCs/>
                <w:sz w:val="20"/>
                <w:szCs w:val="20"/>
              </w:rPr>
              <w:t xml:space="preserve"> el </w:t>
            </w:r>
            <w:r w:rsidR="0055697D">
              <w:rPr>
                <w:rFonts w:eastAsia="Calibri" w:cs="Times New Roman"/>
                <w:iCs/>
                <w:sz w:val="20"/>
                <w:szCs w:val="20"/>
              </w:rPr>
              <w:t>70</w:t>
            </w:r>
            <w:r w:rsidR="00FF4948">
              <w:rPr>
                <w:rFonts w:eastAsia="Calibri" w:cs="Times New Roman"/>
                <w:iCs/>
                <w:sz w:val="20"/>
                <w:szCs w:val="20"/>
              </w:rPr>
              <w:t xml:space="preserve">% del municipio está incluido en </w:t>
            </w:r>
            <w:r w:rsidR="0037621E">
              <w:rPr>
                <w:rFonts w:eastAsia="Calibri" w:cs="Times New Roman"/>
                <w:iCs/>
                <w:sz w:val="20"/>
                <w:szCs w:val="20"/>
              </w:rPr>
              <w:t xml:space="preserve">el Parque Natural Sierra de Andújar, que </w:t>
            </w:r>
            <w:r w:rsidR="00457F0C">
              <w:rPr>
                <w:rFonts w:eastAsia="Calibri" w:cs="Times New Roman"/>
                <w:iCs/>
                <w:sz w:val="20"/>
                <w:szCs w:val="20"/>
              </w:rPr>
              <w:t>e</w:t>
            </w:r>
            <w:r w:rsidR="006707DE">
              <w:rPr>
                <w:rFonts w:eastAsia="Calibri" w:cs="Times New Roman"/>
                <w:iCs/>
                <w:sz w:val="20"/>
                <w:szCs w:val="20"/>
              </w:rPr>
              <w:t>l 99</w:t>
            </w:r>
            <w:r w:rsidR="00457F0C">
              <w:rPr>
                <w:rFonts w:eastAsia="Calibri" w:cs="Times New Roman"/>
                <w:iCs/>
                <w:sz w:val="20"/>
                <w:szCs w:val="20"/>
              </w:rPr>
              <w:t>,2</w:t>
            </w:r>
            <w:r w:rsidR="006707DE">
              <w:rPr>
                <w:rFonts w:eastAsia="Calibri" w:cs="Times New Roman"/>
                <w:iCs/>
                <w:sz w:val="20"/>
                <w:szCs w:val="20"/>
              </w:rPr>
              <w:t xml:space="preserve">% de su superficie </w:t>
            </w:r>
            <w:r w:rsidR="00FA6F84">
              <w:rPr>
                <w:rFonts w:eastAsia="Calibri" w:cs="Times New Roman"/>
                <w:iCs/>
                <w:sz w:val="20"/>
                <w:szCs w:val="20"/>
              </w:rPr>
              <w:t>es</w:t>
            </w:r>
            <w:r w:rsidR="006707DE">
              <w:rPr>
                <w:rFonts w:eastAsia="Calibri" w:cs="Times New Roman"/>
                <w:iCs/>
                <w:sz w:val="20"/>
                <w:szCs w:val="20"/>
              </w:rPr>
              <w:t xml:space="preserve"> agrícola</w:t>
            </w:r>
            <w:r w:rsidR="0055697D">
              <w:rPr>
                <w:rFonts w:eastAsia="Calibri" w:cs="Times New Roman"/>
                <w:iCs/>
                <w:sz w:val="20"/>
                <w:szCs w:val="20"/>
              </w:rPr>
              <w:t xml:space="preserve"> o </w:t>
            </w:r>
            <w:r w:rsidR="006707DE">
              <w:rPr>
                <w:rFonts w:eastAsia="Calibri" w:cs="Times New Roman"/>
                <w:iCs/>
                <w:sz w:val="20"/>
                <w:szCs w:val="20"/>
              </w:rPr>
              <w:t xml:space="preserve">forestal </w:t>
            </w:r>
            <w:r w:rsidR="00FD556A">
              <w:rPr>
                <w:rFonts w:eastAsia="Calibri" w:cs="Times New Roman"/>
                <w:iCs/>
                <w:sz w:val="20"/>
                <w:szCs w:val="20"/>
              </w:rPr>
              <w:t>y</w:t>
            </w:r>
            <w:r w:rsidR="0053779C">
              <w:rPr>
                <w:rFonts w:eastAsia="Calibri" w:cs="Times New Roman"/>
                <w:iCs/>
                <w:sz w:val="20"/>
                <w:szCs w:val="20"/>
              </w:rPr>
              <w:t>, pese a</w:t>
            </w:r>
            <w:r w:rsidR="00B554C4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FD556A">
              <w:rPr>
                <w:rFonts w:eastAsia="Calibri" w:cs="Times New Roman"/>
                <w:iCs/>
                <w:sz w:val="20"/>
                <w:szCs w:val="20"/>
              </w:rPr>
              <w:t>alberga</w:t>
            </w:r>
            <w:r w:rsidR="0053779C">
              <w:rPr>
                <w:rFonts w:eastAsia="Calibri" w:cs="Times New Roman"/>
                <w:iCs/>
                <w:sz w:val="20"/>
                <w:szCs w:val="20"/>
              </w:rPr>
              <w:t>r</w:t>
            </w:r>
            <w:r w:rsidR="00FD556A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B554C4">
              <w:rPr>
                <w:rFonts w:eastAsia="Calibri" w:cs="Times New Roman"/>
                <w:iCs/>
                <w:sz w:val="20"/>
                <w:szCs w:val="20"/>
              </w:rPr>
              <w:t xml:space="preserve">en su término </w:t>
            </w:r>
            <w:r w:rsidR="00FD556A">
              <w:rPr>
                <w:rFonts w:eastAsia="Calibri" w:cs="Times New Roman"/>
                <w:iCs/>
                <w:sz w:val="20"/>
                <w:szCs w:val="20"/>
              </w:rPr>
              <w:t xml:space="preserve">dos </w:t>
            </w:r>
            <w:r w:rsidR="00B554C4">
              <w:rPr>
                <w:rFonts w:eastAsia="Calibri" w:cs="Times New Roman"/>
                <w:iCs/>
                <w:sz w:val="20"/>
                <w:szCs w:val="20"/>
              </w:rPr>
              <w:t xml:space="preserve">de las mayores </w:t>
            </w:r>
            <w:r w:rsidR="00FD556A">
              <w:rPr>
                <w:rFonts w:eastAsia="Calibri" w:cs="Times New Roman"/>
                <w:iCs/>
                <w:sz w:val="20"/>
                <w:szCs w:val="20"/>
              </w:rPr>
              <w:t xml:space="preserve">áreas núcleo </w:t>
            </w:r>
            <w:r w:rsidR="00B554C4">
              <w:rPr>
                <w:rFonts w:eastAsia="Calibri" w:cs="Times New Roman"/>
                <w:iCs/>
                <w:sz w:val="20"/>
                <w:szCs w:val="20"/>
              </w:rPr>
              <w:t>regionales</w:t>
            </w:r>
            <w:r w:rsidR="00B23061">
              <w:rPr>
                <w:rFonts w:eastAsia="Calibri" w:cs="Times New Roman"/>
                <w:iCs/>
                <w:sz w:val="20"/>
                <w:szCs w:val="20"/>
              </w:rPr>
              <w:t xml:space="preserve">, claves para la </w:t>
            </w:r>
            <w:r w:rsidR="00FA6F84">
              <w:rPr>
                <w:rFonts w:eastAsia="Calibri" w:cs="Times New Roman"/>
                <w:iCs/>
                <w:sz w:val="20"/>
                <w:szCs w:val="20"/>
              </w:rPr>
              <w:t xml:space="preserve">biodiversidad y conectividad </w:t>
            </w:r>
            <w:r w:rsidR="00B23061">
              <w:rPr>
                <w:rFonts w:eastAsia="Calibri" w:cs="Times New Roman"/>
                <w:iCs/>
                <w:sz w:val="20"/>
                <w:szCs w:val="20"/>
              </w:rPr>
              <w:t xml:space="preserve">regional </w:t>
            </w:r>
            <w:r w:rsidR="00FD556A">
              <w:rPr>
                <w:rFonts w:eastAsia="Calibri" w:cs="Times New Roman"/>
                <w:iCs/>
                <w:sz w:val="20"/>
                <w:szCs w:val="20"/>
              </w:rPr>
              <w:t xml:space="preserve">(Sierra </w:t>
            </w:r>
            <w:r w:rsidR="0094075E">
              <w:rPr>
                <w:rFonts w:eastAsia="Calibri" w:cs="Times New Roman"/>
                <w:iCs/>
                <w:sz w:val="20"/>
                <w:szCs w:val="20"/>
              </w:rPr>
              <w:t xml:space="preserve">de Andújar </w:t>
            </w:r>
            <w:r w:rsidR="00FD556A">
              <w:rPr>
                <w:rFonts w:eastAsia="Calibri" w:cs="Times New Roman"/>
                <w:iCs/>
                <w:sz w:val="20"/>
                <w:szCs w:val="20"/>
              </w:rPr>
              <w:t>y Guadalquivir)</w:t>
            </w:r>
            <w:r w:rsidR="00FA6F84">
              <w:rPr>
                <w:rFonts w:eastAsia="Calibri" w:cs="Times New Roman"/>
                <w:iCs/>
                <w:sz w:val="20"/>
                <w:szCs w:val="20"/>
              </w:rPr>
              <w:t xml:space="preserve">, </w:t>
            </w:r>
            <w:r w:rsidR="00AA64A4">
              <w:rPr>
                <w:rFonts w:eastAsia="Calibri" w:cs="Times New Roman"/>
                <w:iCs/>
                <w:sz w:val="20"/>
                <w:szCs w:val="20"/>
              </w:rPr>
              <w:t xml:space="preserve">la ciudad </w:t>
            </w:r>
            <w:r w:rsidR="00154FDB">
              <w:rPr>
                <w:rFonts w:eastAsia="Calibri" w:cs="Times New Roman"/>
                <w:iCs/>
                <w:sz w:val="20"/>
                <w:szCs w:val="20"/>
              </w:rPr>
              <w:t>no posee</w:t>
            </w:r>
            <w:r w:rsidR="00101CD7">
              <w:rPr>
                <w:rFonts w:eastAsia="Calibri" w:cs="Times New Roman"/>
                <w:iCs/>
                <w:sz w:val="20"/>
                <w:szCs w:val="20"/>
              </w:rPr>
              <w:t xml:space="preserve"> un instrumento que </w:t>
            </w:r>
            <w:r w:rsidR="00301CF9">
              <w:rPr>
                <w:rFonts w:eastAsia="Calibri" w:cs="Times New Roman"/>
                <w:iCs/>
                <w:sz w:val="20"/>
                <w:szCs w:val="20"/>
              </w:rPr>
              <w:t xml:space="preserve">integre </w:t>
            </w:r>
            <w:r w:rsidR="00101CD7">
              <w:rPr>
                <w:rFonts w:eastAsia="Calibri" w:cs="Times New Roman"/>
                <w:iCs/>
                <w:sz w:val="20"/>
                <w:szCs w:val="20"/>
              </w:rPr>
              <w:t xml:space="preserve">toda su planificación </w:t>
            </w:r>
            <w:r w:rsidR="00D0537D">
              <w:rPr>
                <w:rFonts w:eastAsia="Calibri" w:cs="Times New Roman"/>
                <w:iCs/>
                <w:sz w:val="20"/>
                <w:szCs w:val="20"/>
              </w:rPr>
              <w:t xml:space="preserve">y visión de </w:t>
            </w:r>
            <w:r w:rsidR="00982A0F">
              <w:rPr>
                <w:rFonts w:eastAsia="Calibri" w:cs="Times New Roman"/>
                <w:iCs/>
                <w:sz w:val="20"/>
                <w:szCs w:val="20"/>
              </w:rPr>
              <w:t>IV</w:t>
            </w:r>
            <w:r w:rsidR="001B5922">
              <w:rPr>
                <w:rFonts w:eastAsia="Calibri" w:cs="Times New Roman"/>
                <w:iCs/>
                <w:sz w:val="20"/>
                <w:szCs w:val="20"/>
              </w:rPr>
              <w:t xml:space="preserve"> local</w:t>
            </w:r>
            <w:r w:rsidR="00D0537D">
              <w:rPr>
                <w:rFonts w:eastAsia="Calibri" w:cs="Times New Roman"/>
                <w:iCs/>
                <w:sz w:val="20"/>
                <w:szCs w:val="20"/>
              </w:rPr>
              <w:t xml:space="preserve">. </w:t>
            </w:r>
          </w:p>
          <w:p w:rsidR="00D167BA" w:rsidRDefault="00AA64A4" w:rsidP="003140FF">
            <w:pPr>
              <w:spacing w:after="12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>L</w:t>
            </w:r>
            <w:r w:rsidR="004F4065">
              <w:rPr>
                <w:rFonts w:eastAsia="Calibri" w:cs="Times New Roman"/>
                <w:iCs/>
                <w:sz w:val="20"/>
                <w:szCs w:val="20"/>
              </w:rPr>
              <w:t>a</w:t>
            </w:r>
            <w:r w:rsidR="00301CF9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D0537D">
              <w:rPr>
                <w:rFonts w:eastAsia="Calibri" w:cs="Times New Roman"/>
                <w:iCs/>
                <w:sz w:val="20"/>
                <w:szCs w:val="20"/>
              </w:rPr>
              <w:t xml:space="preserve">planificación </w:t>
            </w:r>
            <w:r w:rsidR="00301CF9">
              <w:rPr>
                <w:rFonts w:eastAsia="Calibri" w:cs="Times New Roman"/>
                <w:iCs/>
                <w:sz w:val="20"/>
                <w:szCs w:val="20"/>
              </w:rPr>
              <w:t xml:space="preserve">con la que cuenta Andújar es </w:t>
            </w:r>
            <w:r w:rsidR="002C248A">
              <w:rPr>
                <w:rFonts w:eastAsia="Calibri" w:cs="Times New Roman"/>
                <w:iCs/>
                <w:sz w:val="20"/>
                <w:szCs w:val="20"/>
              </w:rPr>
              <w:t>de carácter sectorial y</w:t>
            </w:r>
            <w:r w:rsidR="00513D19">
              <w:rPr>
                <w:rFonts w:eastAsia="Calibri" w:cs="Times New Roman"/>
                <w:iCs/>
                <w:sz w:val="20"/>
                <w:szCs w:val="20"/>
              </w:rPr>
              <w:t>, a pesar de</w:t>
            </w:r>
            <w:r w:rsidR="00935477">
              <w:rPr>
                <w:rFonts w:eastAsia="Calibri" w:cs="Times New Roman"/>
                <w:iCs/>
                <w:sz w:val="20"/>
                <w:szCs w:val="20"/>
              </w:rPr>
              <w:t>l impulso</w:t>
            </w:r>
            <w:r w:rsidR="00813CB9">
              <w:rPr>
                <w:rFonts w:eastAsia="Calibri" w:cs="Times New Roman"/>
                <w:iCs/>
                <w:sz w:val="20"/>
                <w:szCs w:val="20"/>
              </w:rPr>
              <w:t xml:space="preserve"> en </w:t>
            </w:r>
            <w:r w:rsidR="00734A28">
              <w:rPr>
                <w:rFonts w:eastAsia="Calibri" w:cs="Times New Roman"/>
                <w:iCs/>
                <w:sz w:val="20"/>
                <w:szCs w:val="20"/>
              </w:rPr>
              <w:t>materia de</w:t>
            </w:r>
            <w:r w:rsidR="00813CB9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495E03">
              <w:rPr>
                <w:rFonts w:eastAsia="Calibri" w:cs="Times New Roman"/>
                <w:iCs/>
                <w:sz w:val="20"/>
                <w:szCs w:val="20"/>
              </w:rPr>
              <w:t xml:space="preserve">planificación </w:t>
            </w:r>
            <w:r w:rsidR="00513D19">
              <w:rPr>
                <w:rFonts w:eastAsia="Calibri" w:cs="Times New Roman"/>
                <w:iCs/>
                <w:sz w:val="20"/>
                <w:szCs w:val="20"/>
              </w:rPr>
              <w:t>estratégic</w:t>
            </w:r>
            <w:r w:rsidR="00495E03">
              <w:rPr>
                <w:rFonts w:eastAsia="Calibri" w:cs="Times New Roman"/>
                <w:iCs/>
                <w:sz w:val="20"/>
                <w:szCs w:val="20"/>
              </w:rPr>
              <w:t xml:space="preserve">a </w:t>
            </w:r>
            <w:r w:rsidR="00513D19">
              <w:rPr>
                <w:rFonts w:eastAsia="Calibri" w:cs="Times New Roman"/>
                <w:iCs/>
                <w:sz w:val="20"/>
                <w:szCs w:val="20"/>
              </w:rPr>
              <w:t>(</w:t>
            </w:r>
            <w:r w:rsidR="009A3C35">
              <w:rPr>
                <w:rFonts w:eastAsia="Calibri" w:cs="Times New Roman"/>
                <w:iCs/>
                <w:sz w:val="20"/>
                <w:szCs w:val="20"/>
              </w:rPr>
              <w:t>Plan Estratégico de Andújar</w:t>
            </w:r>
            <w:r w:rsidR="00582A26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495E03">
              <w:rPr>
                <w:rFonts w:eastAsia="Calibri" w:cs="Times New Roman"/>
                <w:iCs/>
                <w:sz w:val="20"/>
                <w:szCs w:val="20"/>
              </w:rPr>
              <w:t>2019-2028</w:t>
            </w:r>
            <w:r w:rsidR="00634E03">
              <w:rPr>
                <w:rFonts w:eastAsia="Calibri" w:cs="Times New Roman"/>
                <w:iCs/>
                <w:sz w:val="20"/>
                <w:szCs w:val="20"/>
              </w:rPr>
              <w:t xml:space="preserve"> o Agenda Urbana</w:t>
            </w:r>
            <w:r w:rsidR="00513D19">
              <w:rPr>
                <w:rFonts w:eastAsia="Calibri" w:cs="Times New Roman"/>
                <w:iCs/>
                <w:sz w:val="20"/>
                <w:szCs w:val="20"/>
              </w:rPr>
              <w:t xml:space="preserve">), </w:t>
            </w:r>
            <w:r w:rsidR="005524D0">
              <w:rPr>
                <w:rFonts w:eastAsia="Calibri" w:cs="Times New Roman"/>
                <w:iCs/>
                <w:sz w:val="20"/>
                <w:szCs w:val="20"/>
              </w:rPr>
              <w:t xml:space="preserve">estos </w:t>
            </w:r>
            <w:r w:rsidR="00734A28">
              <w:rPr>
                <w:rFonts w:eastAsia="Calibri" w:cs="Times New Roman"/>
                <w:iCs/>
                <w:sz w:val="20"/>
                <w:szCs w:val="20"/>
              </w:rPr>
              <w:t xml:space="preserve">documentos </w:t>
            </w:r>
            <w:r w:rsidR="005524D0">
              <w:rPr>
                <w:rFonts w:eastAsia="Calibri" w:cs="Times New Roman"/>
                <w:iCs/>
                <w:sz w:val="20"/>
                <w:szCs w:val="20"/>
              </w:rPr>
              <w:t xml:space="preserve">no </w:t>
            </w:r>
            <w:r w:rsidR="005E55A5">
              <w:rPr>
                <w:rFonts w:eastAsia="Calibri" w:cs="Times New Roman"/>
                <w:iCs/>
                <w:sz w:val="20"/>
                <w:szCs w:val="20"/>
              </w:rPr>
              <w:t xml:space="preserve">analizan </w:t>
            </w:r>
            <w:r w:rsidR="00734A28">
              <w:rPr>
                <w:rFonts w:eastAsia="Calibri" w:cs="Times New Roman"/>
                <w:iCs/>
                <w:sz w:val="20"/>
                <w:szCs w:val="20"/>
              </w:rPr>
              <w:t>suficientemente</w:t>
            </w:r>
            <w:r w:rsidR="005524D0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5E55A5">
              <w:rPr>
                <w:rFonts w:eastAsia="Calibri" w:cs="Times New Roman"/>
                <w:iCs/>
                <w:sz w:val="20"/>
                <w:szCs w:val="20"/>
              </w:rPr>
              <w:t xml:space="preserve">ni proponen </w:t>
            </w:r>
            <w:r w:rsidR="000C5059">
              <w:rPr>
                <w:rFonts w:eastAsia="Calibri" w:cs="Times New Roman"/>
                <w:iCs/>
                <w:sz w:val="20"/>
                <w:szCs w:val="20"/>
              </w:rPr>
              <w:t xml:space="preserve">intervenciones </w:t>
            </w:r>
            <w:r w:rsidR="00734A28">
              <w:rPr>
                <w:rFonts w:eastAsia="Calibri" w:cs="Times New Roman"/>
                <w:iCs/>
                <w:sz w:val="20"/>
                <w:szCs w:val="20"/>
              </w:rPr>
              <w:t>específicas en materia de IV local</w:t>
            </w:r>
            <w:r w:rsidR="000C5059">
              <w:rPr>
                <w:rFonts w:eastAsia="Calibri" w:cs="Times New Roman"/>
                <w:iCs/>
                <w:sz w:val="20"/>
                <w:szCs w:val="20"/>
              </w:rPr>
              <w:t xml:space="preserve">. A su vez, </w:t>
            </w:r>
            <w:r w:rsidR="00EB6C51">
              <w:rPr>
                <w:rFonts w:eastAsia="Calibri" w:cs="Times New Roman"/>
                <w:iCs/>
                <w:sz w:val="20"/>
                <w:szCs w:val="20"/>
              </w:rPr>
              <w:t>más allá del Plan General de Ordenación Urbana</w:t>
            </w:r>
            <w:r w:rsidR="00BB5C91">
              <w:rPr>
                <w:rFonts w:eastAsia="Calibri" w:cs="Times New Roman"/>
                <w:iCs/>
                <w:sz w:val="20"/>
                <w:szCs w:val="20"/>
              </w:rPr>
              <w:t xml:space="preserve"> de 2010, </w:t>
            </w:r>
            <w:r w:rsidR="000C5059">
              <w:rPr>
                <w:rFonts w:eastAsia="Calibri" w:cs="Times New Roman"/>
                <w:iCs/>
                <w:sz w:val="20"/>
                <w:szCs w:val="20"/>
              </w:rPr>
              <w:t xml:space="preserve">tampoco se aborda </w:t>
            </w:r>
            <w:r w:rsidR="003D74CF">
              <w:rPr>
                <w:rFonts w:eastAsia="Calibri" w:cs="Times New Roman"/>
                <w:iCs/>
                <w:sz w:val="20"/>
                <w:szCs w:val="20"/>
              </w:rPr>
              <w:t xml:space="preserve">de manera estratégica y operativa </w:t>
            </w:r>
            <w:r w:rsidR="002B687E">
              <w:rPr>
                <w:rFonts w:eastAsia="Calibri" w:cs="Times New Roman"/>
                <w:iCs/>
                <w:sz w:val="20"/>
                <w:szCs w:val="20"/>
              </w:rPr>
              <w:t xml:space="preserve">la relación de la </w:t>
            </w:r>
            <w:r w:rsidR="00BB5C91">
              <w:rPr>
                <w:rFonts w:eastAsia="Calibri" w:cs="Times New Roman"/>
                <w:iCs/>
                <w:sz w:val="20"/>
                <w:szCs w:val="20"/>
              </w:rPr>
              <w:t>trama urbana</w:t>
            </w:r>
            <w:r w:rsidR="002B687E">
              <w:rPr>
                <w:rFonts w:eastAsia="Calibri" w:cs="Times New Roman"/>
                <w:iCs/>
                <w:sz w:val="20"/>
                <w:szCs w:val="20"/>
              </w:rPr>
              <w:t xml:space="preserve"> con </w:t>
            </w:r>
            <w:r w:rsidR="003D74CF">
              <w:rPr>
                <w:rFonts w:eastAsia="Calibri" w:cs="Times New Roman"/>
                <w:iCs/>
                <w:sz w:val="20"/>
                <w:szCs w:val="20"/>
              </w:rPr>
              <w:t>su</w:t>
            </w:r>
            <w:r w:rsidR="002B687E">
              <w:rPr>
                <w:rFonts w:eastAsia="Calibri" w:cs="Times New Roman"/>
                <w:iCs/>
                <w:sz w:val="20"/>
                <w:szCs w:val="20"/>
              </w:rPr>
              <w:t xml:space="preserve"> continuo </w:t>
            </w:r>
            <w:r w:rsidR="009A3C35">
              <w:rPr>
                <w:rFonts w:eastAsia="Calibri" w:cs="Times New Roman"/>
                <w:iCs/>
                <w:sz w:val="20"/>
                <w:szCs w:val="20"/>
              </w:rPr>
              <w:t>rural-forestal</w:t>
            </w:r>
            <w:r w:rsidR="008A02AE">
              <w:rPr>
                <w:rFonts w:eastAsia="Calibri" w:cs="Times New Roman"/>
                <w:iCs/>
                <w:sz w:val="20"/>
                <w:szCs w:val="20"/>
              </w:rPr>
              <w:t xml:space="preserve">-fluvial, fuertemente articulado por el </w:t>
            </w:r>
            <w:r w:rsidR="000550A6">
              <w:rPr>
                <w:rFonts w:eastAsia="Calibri" w:cs="Times New Roman"/>
                <w:iCs/>
                <w:sz w:val="20"/>
                <w:szCs w:val="20"/>
              </w:rPr>
              <w:t>Guadalquivir,</w:t>
            </w:r>
            <w:r w:rsidR="008A02AE">
              <w:rPr>
                <w:rFonts w:eastAsia="Calibri" w:cs="Times New Roman"/>
                <w:iCs/>
                <w:sz w:val="20"/>
                <w:szCs w:val="20"/>
              </w:rPr>
              <w:t xml:space="preserve"> pero también por </w:t>
            </w:r>
            <w:r w:rsidR="001E3091">
              <w:rPr>
                <w:rFonts w:eastAsia="Calibri" w:cs="Times New Roman"/>
                <w:iCs/>
                <w:sz w:val="20"/>
                <w:szCs w:val="20"/>
              </w:rPr>
              <w:t xml:space="preserve">ejes como el </w:t>
            </w:r>
            <w:r w:rsidR="00025D23">
              <w:rPr>
                <w:rFonts w:eastAsia="Calibri" w:cs="Times New Roman"/>
                <w:iCs/>
                <w:sz w:val="20"/>
                <w:szCs w:val="20"/>
              </w:rPr>
              <w:t>Jándula o los</w:t>
            </w:r>
            <w:r w:rsidR="008A02AE">
              <w:rPr>
                <w:rFonts w:eastAsia="Calibri" w:cs="Times New Roman"/>
                <w:iCs/>
                <w:sz w:val="20"/>
                <w:szCs w:val="20"/>
              </w:rPr>
              <w:t xml:space="preserve"> arroyos </w:t>
            </w:r>
            <w:proofErr w:type="spellStart"/>
            <w:r w:rsidR="008117C7">
              <w:rPr>
                <w:rFonts w:eastAsia="Calibri" w:cs="Times New Roman"/>
                <w:iCs/>
                <w:sz w:val="20"/>
                <w:szCs w:val="20"/>
              </w:rPr>
              <w:t>Minguillo</w:t>
            </w:r>
            <w:proofErr w:type="spellEnd"/>
            <w:r w:rsidR="008117C7">
              <w:rPr>
                <w:rFonts w:eastAsia="Calibri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="008117C7">
              <w:rPr>
                <w:rFonts w:eastAsia="Calibri" w:cs="Times New Roman"/>
                <w:iCs/>
                <w:sz w:val="20"/>
                <w:szCs w:val="20"/>
              </w:rPr>
              <w:t>Mestanza</w:t>
            </w:r>
            <w:proofErr w:type="spellEnd"/>
            <w:r w:rsidR="008117C7">
              <w:rPr>
                <w:rFonts w:eastAsia="Calibri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="008117C7">
              <w:rPr>
                <w:rFonts w:eastAsia="Calibri" w:cs="Times New Roman"/>
                <w:iCs/>
                <w:sz w:val="20"/>
                <w:szCs w:val="20"/>
              </w:rPr>
              <w:t>Tamujoso</w:t>
            </w:r>
            <w:proofErr w:type="spellEnd"/>
            <w:r w:rsidR="008117C7">
              <w:rPr>
                <w:rFonts w:eastAsia="Calibri" w:cs="Times New Roman"/>
                <w:iCs/>
                <w:sz w:val="20"/>
                <w:szCs w:val="20"/>
              </w:rPr>
              <w:t>, etc.</w:t>
            </w:r>
          </w:p>
          <w:p w:rsidR="003140FF" w:rsidRDefault="00823679" w:rsidP="00B91AE4">
            <w:pPr>
              <w:spacing w:after="12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 xml:space="preserve">Es </w:t>
            </w:r>
            <w:r w:rsidR="000B031A">
              <w:rPr>
                <w:rFonts w:eastAsia="Calibri" w:cs="Times New Roman"/>
                <w:iCs/>
                <w:sz w:val="20"/>
                <w:szCs w:val="20"/>
              </w:rPr>
              <w:t xml:space="preserve">por ello que es crucial para la ciudad disponer de un instrumento </w:t>
            </w:r>
            <w:r w:rsidR="00940975">
              <w:rPr>
                <w:rFonts w:eastAsia="Calibri" w:cs="Times New Roman"/>
                <w:iCs/>
                <w:sz w:val="20"/>
                <w:szCs w:val="20"/>
              </w:rPr>
              <w:t>específico de IV</w:t>
            </w:r>
            <w:r w:rsidR="002518EC">
              <w:rPr>
                <w:rFonts w:eastAsia="Calibri" w:cs="Times New Roman"/>
                <w:iCs/>
                <w:sz w:val="20"/>
                <w:szCs w:val="20"/>
              </w:rPr>
              <w:t>, un</w:t>
            </w:r>
            <w:r w:rsidR="00940975">
              <w:rPr>
                <w:rFonts w:eastAsia="Calibri" w:cs="Times New Roman"/>
                <w:iCs/>
                <w:sz w:val="20"/>
                <w:szCs w:val="20"/>
              </w:rPr>
              <w:t xml:space="preserve"> Plan de Infraestructura Verde y Azul de Andújar</w:t>
            </w:r>
            <w:r w:rsidR="00B453B3">
              <w:rPr>
                <w:rFonts w:eastAsia="Calibri" w:cs="Times New Roman"/>
                <w:iCs/>
                <w:sz w:val="20"/>
                <w:szCs w:val="20"/>
              </w:rPr>
              <w:t>.</w:t>
            </w:r>
            <w:r w:rsidR="00DF32E4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6E21D4" w:rsidRPr="006E21D4">
              <w:rPr>
                <w:rFonts w:eastAsia="Calibri" w:cs="Times New Roman"/>
                <w:iCs/>
                <w:sz w:val="20"/>
                <w:szCs w:val="20"/>
              </w:rPr>
              <w:t xml:space="preserve">La confección de </w:t>
            </w:r>
            <w:r w:rsidR="00DF32E4">
              <w:rPr>
                <w:rFonts w:eastAsia="Calibri" w:cs="Times New Roman"/>
                <w:iCs/>
                <w:sz w:val="20"/>
                <w:szCs w:val="20"/>
              </w:rPr>
              <w:t>un Plan de IV</w:t>
            </w:r>
            <w:r w:rsidR="006E21D4" w:rsidRPr="006E21D4">
              <w:rPr>
                <w:rFonts w:eastAsia="Calibri" w:cs="Times New Roman"/>
                <w:iCs/>
                <w:sz w:val="20"/>
                <w:szCs w:val="20"/>
              </w:rPr>
              <w:t xml:space="preserve"> será el paso </w:t>
            </w:r>
            <w:r w:rsidR="00187527">
              <w:rPr>
                <w:rFonts w:eastAsia="Calibri" w:cs="Times New Roman"/>
                <w:iCs/>
                <w:sz w:val="20"/>
                <w:szCs w:val="20"/>
              </w:rPr>
              <w:t xml:space="preserve">definitivo </w:t>
            </w:r>
            <w:r w:rsidR="006E21D4" w:rsidRPr="006E21D4">
              <w:rPr>
                <w:rFonts w:eastAsia="Calibri" w:cs="Times New Roman"/>
                <w:iCs/>
                <w:sz w:val="20"/>
                <w:szCs w:val="20"/>
              </w:rPr>
              <w:t xml:space="preserve">para </w:t>
            </w:r>
            <w:r w:rsidR="00187527">
              <w:rPr>
                <w:rFonts w:eastAsia="Calibri" w:cs="Times New Roman"/>
                <w:iCs/>
                <w:sz w:val="20"/>
                <w:szCs w:val="20"/>
              </w:rPr>
              <w:t xml:space="preserve">integrar </w:t>
            </w:r>
            <w:r w:rsidR="00847A87">
              <w:rPr>
                <w:rFonts w:eastAsia="Calibri" w:cs="Times New Roman"/>
                <w:iCs/>
                <w:sz w:val="20"/>
                <w:szCs w:val="20"/>
              </w:rPr>
              <w:t>esta dimensión</w:t>
            </w:r>
            <w:r w:rsidR="006E21D4" w:rsidRPr="006E21D4">
              <w:rPr>
                <w:rFonts w:eastAsia="Calibri" w:cs="Times New Roman"/>
                <w:iCs/>
                <w:sz w:val="20"/>
                <w:szCs w:val="20"/>
              </w:rPr>
              <w:t xml:space="preserve"> en la planificación </w:t>
            </w:r>
            <w:r w:rsidR="002F4AA7">
              <w:rPr>
                <w:rFonts w:eastAsia="Calibri" w:cs="Times New Roman"/>
                <w:iCs/>
                <w:sz w:val="20"/>
                <w:szCs w:val="20"/>
              </w:rPr>
              <w:t xml:space="preserve">y gestión </w:t>
            </w:r>
            <w:r w:rsidR="006E21D4" w:rsidRPr="006E21D4">
              <w:rPr>
                <w:rFonts w:eastAsia="Calibri" w:cs="Times New Roman"/>
                <w:iCs/>
                <w:sz w:val="20"/>
                <w:szCs w:val="20"/>
              </w:rPr>
              <w:t xml:space="preserve">de la ciudad, siendo el marco para </w:t>
            </w:r>
            <w:r w:rsidR="00133E93">
              <w:rPr>
                <w:rFonts w:eastAsia="Calibri" w:cs="Times New Roman"/>
                <w:iCs/>
                <w:sz w:val="20"/>
                <w:szCs w:val="20"/>
              </w:rPr>
              <w:t>implementar de una manera eficaz las Acciones</w:t>
            </w:r>
            <w:r w:rsidR="002F4AA7">
              <w:rPr>
                <w:rFonts w:eastAsia="Calibri" w:cs="Times New Roman"/>
                <w:iCs/>
                <w:sz w:val="20"/>
                <w:szCs w:val="20"/>
              </w:rPr>
              <w:t xml:space="preserve"> tipo</w:t>
            </w:r>
            <w:r w:rsidR="00133E93">
              <w:rPr>
                <w:rFonts w:eastAsia="Calibri" w:cs="Times New Roman"/>
                <w:iCs/>
                <w:sz w:val="20"/>
                <w:szCs w:val="20"/>
              </w:rPr>
              <w:t xml:space="preserve"> B</w:t>
            </w:r>
            <w:r w:rsidR="002F4AA7">
              <w:rPr>
                <w:rFonts w:eastAsia="Calibri" w:cs="Times New Roman"/>
                <w:iCs/>
                <w:sz w:val="20"/>
                <w:szCs w:val="20"/>
              </w:rPr>
              <w:t xml:space="preserve"> de la presente propuesta de </w:t>
            </w:r>
            <w:r w:rsidR="005A722A" w:rsidRPr="005A722A">
              <w:rPr>
                <w:rFonts w:eastAsia="Calibri" w:cs="Times New Roman"/>
                <w:iCs/>
                <w:sz w:val="20"/>
                <w:szCs w:val="20"/>
              </w:rPr>
              <w:t xml:space="preserve">Reactivación Ecológica </w:t>
            </w:r>
            <w:r w:rsidR="005A722A">
              <w:rPr>
                <w:rFonts w:eastAsia="Calibri" w:cs="Times New Roman"/>
                <w:iCs/>
                <w:sz w:val="20"/>
                <w:szCs w:val="20"/>
              </w:rPr>
              <w:t>d</w:t>
            </w:r>
            <w:r w:rsidR="005A722A" w:rsidRPr="005A722A">
              <w:rPr>
                <w:rFonts w:eastAsia="Calibri" w:cs="Times New Roman"/>
                <w:iCs/>
                <w:sz w:val="20"/>
                <w:szCs w:val="20"/>
              </w:rPr>
              <w:t xml:space="preserve">e </w:t>
            </w:r>
            <w:r w:rsidR="005A722A">
              <w:rPr>
                <w:rFonts w:eastAsia="Calibri" w:cs="Times New Roman"/>
                <w:iCs/>
                <w:sz w:val="20"/>
                <w:szCs w:val="20"/>
              </w:rPr>
              <w:t>l</w:t>
            </w:r>
            <w:r w:rsidR="005A722A" w:rsidRPr="005A722A">
              <w:rPr>
                <w:rFonts w:eastAsia="Calibri" w:cs="Times New Roman"/>
                <w:iCs/>
                <w:sz w:val="20"/>
                <w:szCs w:val="20"/>
              </w:rPr>
              <w:t xml:space="preserve">a Infraestructura Verde Local </w:t>
            </w:r>
            <w:r w:rsidR="005A722A">
              <w:rPr>
                <w:rFonts w:eastAsia="Calibri" w:cs="Times New Roman"/>
                <w:iCs/>
                <w:sz w:val="20"/>
                <w:szCs w:val="20"/>
              </w:rPr>
              <w:t>d</w:t>
            </w:r>
            <w:r w:rsidR="005A722A" w:rsidRPr="005A722A">
              <w:rPr>
                <w:rFonts w:eastAsia="Calibri" w:cs="Times New Roman"/>
                <w:iCs/>
                <w:sz w:val="20"/>
                <w:szCs w:val="20"/>
              </w:rPr>
              <w:t xml:space="preserve">e Andújar: Paisaje Urbano, Rural, Natural </w:t>
            </w:r>
            <w:r w:rsidR="005A722A">
              <w:rPr>
                <w:rFonts w:eastAsia="Calibri" w:cs="Times New Roman"/>
                <w:iCs/>
                <w:sz w:val="20"/>
                <w:szCs w:val="20"/>
              </w:rPr>
              <w:t>y</w:t>
            </w:r>
            <w:r w:rsidR="005A722A" w:rsidRPr="005A722A">
              <w:rPr>
                <w:rFonts w:eastAsia="Calibri" w:cs="Times New Roman"/>
                <w:iCs/>
                <w:sz w:val="20"/>
                <w:szCs w:val="20"/>
              </w:rPr>
              <w:t xml:space="preserve"> Fluvial</w:t>
            </w:r>
            <w:r w:rsidR="005A722A">
              <w:rPr>
                <w:rFonts w:eastAsia="Calibri" w:cs="Times New Roman"/>
                <w:iCs/>
                <w:sz w:val="20"/>
                <w:szCs w:val="20"/>
              </w:rPr>
              <w:t xml:space="preserve"> (IVLA)</w:t>
            </w:r>
            <w:r w:rsidR="00133E93">
              <w:rPr>
                <w:rFonts w:eastAsia="Calibri" w:cs="Times New Roman"/>
                <w:iCs/>
                <w:sz w:val="20"/>
                <w:szCs w:val="20"/>
              </w:rPr>
              <w:t>.</w:t>
            </w:r>
            <w:r w:rsidR="00B91AE4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6E21D4" w:rsidRPr="006E21D4">
              <w:rPr>
                <w:rFonts w:eastAsia="Calibri" w:cs="Times New Roman"/>
                <w:iCs/>
                <w:sz w:val="20"/>
                <w:szCs w:val="20"/>
              </w:rPr>
              <w:t>Est</w:t>
            </w:r>
            <w:r w:rsidR="00020461">
              <w:rPr>
                <w:rFonts w:eastAsia="Calibri" w:cs="Times New Roman"/>
                <w:iCs/>
                <w:sz w:val="20"/>
                <w:szCs w:val="20"/>
              </w:rPr>
              <w:t>e Plan marcará</w:t>
            </w:r>
            <w:r w:rsidR="006E21D4" w:rsidRPr="006E21D4">
              <w:rPr>
                <w:rFonts w:eastAsia="Calibri" w:cs="Times New Roman"/>
                <w:iCs/>
                <w:sz w:val="20"/>
                <w:szCs w:val="20"/>
              </w:rPr>
              <w:t xml:space="preserve"> las condiciones y líneas necesarias para realizar una planificación </w:t>
            </w:r>
            <w:r w:rsidR="00E72B07">
              <w:rPr>
                <w:rFonts w:eastAsia="Calibri" w:cs="Times New Roman"/>
                <w:iCs/>
                <w:sz w:val="20"/>
                <w:szCs w:val="20"/>
              </w:rPr>
              <w:t xml:space="preserve">integral </w:t>
            </w:r>
            <w:r w:rsidR="00915259">
              <w:rPr>
                <w:rFonts w:eastAsia="Calibri" w:cs="Times New Roman"/>
                <w:iCs/>
                <w:sz w:val="20"/>
                <w:szCs w:val="20"/>
              </w:rPr>
              <w:t xml:space="preserve">y transversal </w:t>
            </w:r>
            <w:r w:rsidR="00E72B07">
              <w:rPr>
                <w:rFonts w:eastAsia="Calibri" w:cs="Times New Roman"/>
                <w:iCs/>
                <w:sz w:val="20"/>
                <w:szCs w:val="20"/>
              </w:rPr>
              <w:t xml:space="preserve">en materia de IV, que sea </w:t>
            </w:r>
            <w:r w:rsidR="00915259">
              <w:rPr>
                <w:rFonts w:eastAsia="Calibri" w:cs="Times New Roman"/>
                <w:iCs/>
                <w:sz w:val="20"/>
                <w:szCs w:val="20"/>
              </w:rPr>
              <w:t xml:space="preserve">capaz de </w:t>
            </w:r>
            <w:r w:rsidR="00E1126E">
              <w:rPr>
                <w:rFonts w:eastAsia="Calibri" w:cs="Times New Roman"/>
                <w:iCs/>
                <w:sz w:val="20"/>
                <w:szCs w:val="20"/>
              </w:rPr>
              <w:t>abordar todas</w:t>
            </w:r>
            <w:r w:rsidR="00E72B07">
              <w:rPr>
                <w:rFonts w:eastAsia="Calibri" w:cs="Times New Roman"/>
                <w:iCs/>
                <w:sz w:val="20"/>
                <w:szCs w:val="20"/>
              </w:rPr>
              <w:t xml:space="preserve"> las dimensiones y sector</w:t>
            </w:r>
            <w:r w:rsidR="00E1126E">
              <w:rPr>
                <w:rFonts w:eastAsia="Calibri" w:cs="Times New Roman"/>
                <w:iCs/>
                <w:sz w:val="20"/>
                <w:szCs w:val="20"/>
              </w:rPr>
              <w:t>es</w:t>
            </w:r>
            <w:r w:rsidR="00E72B07">
              <w:rPr>
                <w:rFonts w:eastAsia="Calibri" w:cs="Times New Roman"/>
                <w:iCs/>
                <w:sz w:val="20"/>
                <w:szCs w:val="20"/>
              </w:rPr>
              <w:t xml:space="preserve"> de Andújar (economía, espacio público, </w:t>
            </w:r>
            <w:r w:rsidR="00915259">
              <w:rPr>
                <w:rFonts w:eastAsia="Calibri" w:cs="Times New Roman"/>
                <w:iCs/>
                <w:sz w:val="20"/>
                <w:szCs w:val="20"/>
              </w:rPr>
              <w:t>salud</w:t>
            </w:r>
            <w:r w:rsidR="006E21D4" w:rsidRPr="006E21D4">
              <w:rPr>
                <w:rFonts w:eastAsia="Calibri" w:cs="Times New Roman"/>
                <w:iCs/>
                <w:sz w:val="20"/>
                <w:szCs w:val="20"/>
              </w:rPr>
              <w:t xml:space="preserve">, </w:t>
            </w:r>
            <w:r w:rsidR="00E1126E">
              <w:rPr>
                <w:rFonts w:eastAsia="Calibri" w:cs="Times New Roman"/>
                <w:iCs/>
                <w:sz w:val="20"/>
                <w:szCs w:val="20"/>
              </w:rPr>
              <w:t xml:space="preserve">movilidad, etc.), </w:t>
            </w:r>
            <w:r w:rsidR="006E21D4" w:rsidRPr="006E21D4">
              <w:rPr>
                <w:rFonts w:eastAsia="Calibri" w:cs="Times New Roman"/>
                <w:iCs/>
                <w:sz w:val="20"/>
                <w:szCs w:val="20"/>
              </w:rPr>
              <w:t xml:space="preserve">dando respuesta así a las premisas de la Estrategia Nacional de Infraestructura Verde y de la Conectividad y Restauración </w:t>
            </w:r>
            <w:proofErr w:type="gramStart"/>
            <w:r w:rsidR="006E21D4" w:rsidRPr="006E21D4">
              <w:rPr>
                <w:rFonts w:eastAsia="Calibri" w:cs="Times New Roman"/>
                <w:iCs/>
                <w:sz w:val="20"/>
                <w:szCs w:val="20"/>
              </w:rPr>
              <w:t>Ecológicas</w:t>
            </w:r>
            <w:r w:rsidR="00FE2FC4">
              <w:rPr>
                <w:rFonts w:eastAsia="Calibri" w:cs="Times New Roman"/>
                <w:iCs/>
                <w:sz w:val="20"/>
                <w:szCs w:val="20"/>
              </w:rPr>
              <w:t>(</w:t>
            </w:r>
            <w:proofErr w:type="gramEnd"/>
            <w:r w:rsidR="00FE2FC4">
              <w:rPr>
                <w:rFonts w:eastAsia="Calibri" w:cs="Times New Roman"/>
                <w:iCs/>
                <w:sz w:val="20"/>
                <w:szCs w:val="20"/>
              </w:rPr>
              <w:t xml:space="preserve">ENIVCRE), </w:t>
            </w:r>
            <w:r w:rsidR="006E21D4" w:rsidRPr="006E21D4">
              <w:rPr>
                <w:rFonts w:eastAsia="Calibri" w:cs="Times New Roman"/>
                <w:iCs/>
                <w:sz w:val="20"/>
                <w:szCs w:val="20"/>
              </w:rPr>
              <w:t>la cual tomará de referencia</w:t>
            </w:r>
            <w:r w:rsidR="00E1126E">
              <w:rPr>
                <w:rFonts w:eastAsia="Calibri" w:cs="Times New Roman"/>
                <w:iCs/>
                <w:sz w:val="20"/>
                <w:szCs w:val="20"/>
              </w:rPr>
              <w:t>.</w:t>
            </w:r>
          </w:p>
          <w:p w:rsidR="002710BE" w:rsidRPr="001618E0" w:rsidRDefault="00DA1261" w:rsidP="00F57421">
            <w:pPr>
              <w:spacing w:after="12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 xml:space="preserve">Más allá de la elaboración del Plan, </w:t>
            </w:r>
            <w:r w:rsidR="00FC1FD6">
              <w:rPr>
                <w:rFonts w:eastAsia="Calibri" w:cs="Times New Roman"/>
                <w:iCs/>
                <w:sz w:val="20"/>
                <w:szCs w:val="20"/>
              </w:rPr>
              <w:t xml:space="preserve">se considera de especial relevancia para </w:t>
            </w:r>
            <w:r w:rsidR="00B91AE4">
              <w:rPr>
                <w:rFonts w:eastAsia="Calibri" w:cs="Times New Roman"/>
                <w:iCs/>
                <w:sz w:val="20"/>
                <w:szCs w:val="20"/>
              </w:rPr>
              <w:t>el Ayuntamiento de A</w:t>
            </w:r>
            <w:r w:rsidR="00FC1FD6">
              <w:rPr>
                <w:rFonts w:eastAsia="Calibri" w:cs="Times New Roman"/>
                <w:iCs/>
                <w:sz w:val="20"/>
                <w:szCs w:val="20"/>
              </w:rPr>
              <w:t xml:space="preserve">ndújar </w:t>
            </w:r>
            <w:r w:rsidR="0043659C">
              <w:rPr>
                <w:rFonts w:eastAsia="Calibri" w:cs="Times New Roman"/>
                <w:iCs/>
                <w:sz w:val="20"/>
                <w:szCs w:val="20"/>
              </w:rPr>
              <w:t>contar con</w:t>
            </w:r>
            <w:r w:rsidR="00FC1FD6">
              <w:rPr>
                <w:rFonts w:eastAsia="Calibri" w:cs="Times New Roman"/>
                <w:iCs/>
                <w:sz w:val="20"/>
                <w:szCs w:val="20"/>
              </w:rPr>
              <w:t xml:space="preserve"> un diagnóstico </w:t>
            </w:r>
            <w:r w:rsidR="00B91AE4">
              <w:rPr>
                <w:rFonts w:eastAsia="Calibri" w:cs="Times New Roman"/>
                <w:iCs/>
                <w:sz w:val="20"/>
                <w:szCs w:val="20"/>
              </w:rPr>
              <w:t>ecológic</w:t>
            </w:r>
            <w:r w:rsidR="00397B42">
              <w:rPr>
                <w:rFonts w:eastAsia="Calibri" w:cs="Times New Roman"/>
                <w:iCs/>
                <w:sz w:val="20"/>
                <w:szCs w:val="20"/>
              </w:rPr>
              <w:t>o específico de su</w:t>
            </w:r>
            <w:r w:rsidR="00FC1FD6">
              <w:rPr>
                <w:rFonts w:eastAsia="Calibri" w:cs="Times New Roman"/>
                <w:iCs/>
                <w:sz w:val="20"/>
                <w:szCs w:val="20"/>
              </w:rPr>
              <w:t xml:space="preserve"> IV y biodiversidad</w:t>
            </w:r>
            <w:r w:rsidR="00C35AB5">
              <w:rPr>
                <w:rFonts w:eastAsia="Calibri" w:cs="Times New Roman"/>
                <w:iCs/>
                <w:sz w:val="20"/>
                <w:szCs w:val="20"/>
              </w:rPr>
              <w:t xml:space="preserve">. </w:t>
            </w:r>
            <w:r w:rsidR="00EC5E5F">
              <w:rPr>
                <w:rFonts w:eastAsia="Calibri" w:cs="Times New Roman"/>
                <w:iCs/>
                <w:sz w:val="20"/>
                <w:szCs w:val="20"/>
              </w:rPr>
              <w:t xml:space="preserve">Este análisis será el primer paso de la Acción 1 y </w:t>
            </w:r>
            <w:r w:rsidR="00EF3365">
              <w:rPr>
                <w:rFonts w:eastAsia="Calibri" w:cs="Times New Roman"/>
                <w:iCs/>
                <w:sz w:val="20"/>
                <w:szCs w:val="20"/>
              </w:rPr>
              <w:t xml:space="preserve">constituirá la base para </w:t>
            </w:r>
            <w:r w:rsidR="00F7574D">
              <w:rPr>
                <w:rFonts w:eastAsia="Calibri" w:cs="Times New Roman"/>
                <w:iCs/>
                <w:sz w:val="20"/>
                <w:szCs w:val="20"/>
              </w:rPr>
              <w:t xml:space="preserve">distintos </w:t>
            </w:r>
            <w:r w:rsidR="00CC36ED">
              <w:rPr>
                <w:rFonts w:eastAsia="Calibri" w:cs="Times New Roman"/>
                <w:iCs/>
                <w:sz w:val="20"/>
                <w:szCs w:val="20"/>
              </w:rPr>
              <w:t>aspectos de las Acciones B y de l</w:t>
            </w:r>
            <w:r w:rsidR="00EF3365">
              <w:rPr>
                <w:rFonts w:eastAsia="Calibri" w:cs="Times New Roman"/>
                <w:iCs/>
                <w:sz w:val="20"/>
                <w:szCs w:val="20"/>
              </w:rPr>
              <w:t xml:space="preserve">a propuesta de actuaciones </w:t>
            </w:r>
            <w:r w:rsidR="00F7574D">
              <w:rPr>
                <w:rFonts w:eastAsia="Calibri" w:cs="Times New Roman"/>
                <w:iCs/>
                <w:sz w:val="20"/>
                <w:szCs w:val="20"/>
              </w:rPr>
              <w:t>d</w:t>
            </w:r>
            <w:r w:rsidR="00CC36ED">
              <w:rPr>
                <w:rFonts w:eastAsia="Calibri" w:cs="Times New Roman"/>
                <w:iCs/>
                <w:sz w:val="20"/>
                <w:szCs w:val="20"/>
              </w:rPr>
              <w:t>el Plan</w:t>
            </w:r>
            <w:r w:rsidR="003904CC">
              <w:rPr>
                <w:rFonts w:eastAsia="Calibri" w:cs="Times New Roman"/>
                <w:iCs/>
                <w:sz w:val="20"/>
                <w:szCs w:val="20"/>
              </w:rPr>
              <w:t>. P</w:t>
            </w:r>
            <w:r w:rsidR="00F7574D">
              <w:rPr>
                <w:rFonts w:eastAsia="Calibri" w:cs="Times New Roman"/>
                <w:iCs/>
                <w:sz w:val="20"/>
                <w:szCs w:val="20"/>
              </w:rPr>
              <w:t>ero</w:t>
            </w:r>
            <w:r w:rsidR="009A6B7C">
              <w:rPr>
                <w:rFonts w:eastAsia="Calibri" w:cs="Times New Roman"/>
                <w:iCs/>
                <w:sz w:val="20"/>
                <w:szCs w:val="20"/>
              </w:rPr>
              <w:t xml:space="preserve"> la intención no será sólo circunscribirlo para la elaboración del Plan</w:t>
            </w:r>
            <w:r w:rsidR="003904CC">
              <w:rPr>
                <w:rFonts w:eastAsia="Calibri" w:cs="Times New Roman"/>
                <w:iCs/>
                <w:sz w:val="20"/>
                <w:szCs w:val="20"/>
              </w:rPr>
              <w:t xml:space="preserve">; este diagnóstico se vinculará directamente con </w:t>
            </w:r>
            <w:r w:rsidR="00432AC4">
              <w:rPr>
                <w:rFonts w:eastAsia="Calibri" w:cs="Times New Roman"/>
                <w:iCs/>
                <w:sz w:val="20"/>
                <w:szCs w:val="20"/>
              </w:rPr>
              <w:t>un</w:t>
            </w:r>
            <w:r w:rsidR="00EF3365">
              <w:rPr>
                <w:rFonts w:eastAsia="Calibri" w:cs="Times New Roman"/>
                <w:iCs/>
                <w:sz w:val="20"/>
                <w:szCs w:val="20"/>
              </w:rPr>
              <w:t xml:space="preserve"> análisis de riesgos climáticos</w:t>
            </w:r>
            <w:r w:rsidR="00C542A4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432AC4">
              <w:rPr>
                <w:rFonts w:eastAsia="Calibri" w:cs="Times New Roman"/>
                <w:iCs/>
                <w:sz w:val="20"/>
                <w:szCs w:val="20"/>
              </w:rPr>
              <w:t xml:space="preserve">de Andújar </w:t>
            </w:r>
            <w:r w:rsidR="003904CC">
              <w:rPr>
                <w:rFonts w:eastAsia="Calibri" w:cs="Times New Roman"/>
                <w:iCs/>
                <w:sz w:val="20"/>
                <w:szCs w:val="20"/>
              </w:rPr>
              <w:t xml:space="preserve">(a incluir en el Plan) </w:t>
            </w:r>
            <w:r w:rsidR="00432AC4">
              <w:rPr>
                <w:rFonts w:eastAsia="Calibri" w:cs="Times New Roman"/>
                <w:iCs/>
                <w:sz w:val="20"/>
                <w:szCs w:val="20"/>
              </w:rPr>
              <w:t xml:space="preserve">y con la incorporación de la perspectiva de adaptación y mitigación al cambio climático </w:t>
            </w:r>
            <w:r w:rsidR="00C27B82">
              <w:rPr>
                <w:rFonts w:eastAsia="Calibri" w:cs="Times New Roman"/>
                <w:iCs/>
                <w:sz w:val="20"/>
                <w:szCs w:val="20"/>
              </w:rPr>
              <w:t xml:space="preserve">dentro de la gestión municipal. Debido a la participación propuesta para la elaboración del Plan (Acción C1: </w:t>
            </w:r>
            <w:r w:rsidR="005E1205">
              <w:rPr>
                <w:rFonts w:eastAsia="Calibri" w:cs="Times New Roman"/>
                <w:iCs/>
                <w:sz w:val="20"/>
                <w:szCs w:val="20"/>
              </w:rPr>
              <w:t>Comisión y Consejo)</w:t>
            </w:r>
            <w:r w:rsidR="00EA699B">
              <w:rPr>
                <w:rFonts w:eastAsia="Calibri" w:cs="Times New Roman"/>
                <w:iCs/>
                <w:sz w:val="20"/>
                <w:szCs w:val="20"/>
              </w:rPr>
              <w:t xml:space="preserve">, distintos técnicos/as participarán en el proceso de elaboración, escalándose y transfiriéndose el conocimiento </w:t>
            </w:r>
            <w:r w:rsidR="00F57421">
              <w:rPr>
                <w:rFonts w:eastAsia="Calibri" w:cs="Times New Roman"/>
                <w:iCs/>
                <w:sz w:val="20"/>
                <w:szCs w:val="20"/>
              </w:rPr>
              <w:t>dentro del Ayuntamiento</w:t>
            </w:r>
            <w:r w:rsidR="00E81CDE">
              <w:rPr>
                <w:rFonts w:eastAsia="Calibri" w:cs="Times New Roman"/>
                <w:iCs/>
                <w:sz w:val="20"/>
                <w:szCs w:val="20"/>
              </w:rPr>
              <w:t xml:space="preserve">, así como con otros </w:t>
            </w:r>
            <w:r w:rsidR="003D67AA">
              <w:rPr>
                <w:rFonts w:eastAsia="Calibri" w:cs="Times New Roman"/>
                <w:iCs/>
                <w:sz w:val="20"/>
                <w:szCs w:val="20"/>
              </w:rPr>
              <w:t>agentes intersectoriales.</w:t>
            </w:r>
          </w:p>
        </w:tc>
      </w:tr>
      <w:tr w:rsidR="00AE6BE1" w:rsidRPr="001618E0" w:rsidTr="004E36AE">
        <w:trPr>
          <w:trHeight w:val="276"/>
        </w:trPr>
        <w:tc>
          <w:tcPr>
            <w:tcW w:w="10660" w:type="dxa"/>
            <w:gridSpan w:val="4"/>
            <w:shd w:val="clear" w:color="auto" w:fill="31849B" w:themeFill="accent5" w:themeFillShade="BF"/>
          </w:tcPr>
          <w:p w:rsidR="00AE6BE1" w:rsidRPr="001618E0" w:rsidRDefault="00AE6BE1" w:rsidP="00DF6A15">
            <w:pPr>
              <w:keepNext/>
              <w:spacing w:after="0" w:line="240" w:lineRule="auto"/>
              <w:ind w:left="28" w:right="28"/>
              <w:jc w:val="both"/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</w:pPr>
            <w:r w:rsidRPr="001618E0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>Entidad coordinadora de la acción</w:t>
            </w:r>
            <w:r w:rsidR="008F2D12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2710BE" w:rsidRPr="001618E0" w:rsidTr="00273F8D">
        <w:trPr>
          <w:trHeight w:val="418"/>
        </w:trPr>
        <w:tc>
          <w:tcPr>
            <w:tcW w:w="10660" w:type="dxa"/>
            <w:gridSpan w:val="4"/>
          </w:tcPr>
          <w:p w:rsidR="002710BE" w:rsidRPr="001618E0" w:rsidRDefault="00157923" w:rsidP="00DF6A15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>Ayuntamiento de Andújar</w:t>
            </w:r>
          </w:p>
        </w:tc>
      </w:tr>
      <w:tr w:rsidR="005E49F2" w:rsidRPr="001618E0" w:rsidTr="004E36AE">
        <w:trPr>
          <w:trHeight w:val="270"/>
        </w:trPr>
        <w:tc>
          <w:tcPr>
            <w:tcW w:w="10660" w:type="dxa"/>
            <w:gridSpan w:val="4"/>
            <w:shd w:val="clear" w:color="auto" w:fill="31849B" w:themeFill="accent5" w:themeFillShade="BF"/>
          </w:tcPr>
          <w:p w:rsidR="005E49F2" w:rsidRPr="001618E0" w:rsidRDefault="005E49F2" w:rsidP="005E49F2">
            <w:pPr>
              <w:keepNext/>
              <w:spacing w:after="0" w:line="240" w:lineRule="auto"/>
              <w:ind w:left="28" w:right="28"/>
              <w:jc w:val="both"/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</w:pPr>
            <w:r w:rsidRPr="0060779D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Entidades participantes en la acción </w:t>
            </w:r>
            <w:r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(solo para agrupaciones)</w:t>
            </w:r>
            <w:r w:rsidR="008F2D12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E49F2" w:rsidRPr="001618E0" w:rsidTr="00273F8D">
        <w:trPr>
          <w:trHeight w:val="414"/>
        </w:trPr>
        <w:tc>
          <w:tcPr>
            <w:tcW w:w="10660" w:type="dxa"/>
            <w:gridSpan w:val="4"/>
          </w:tcPr>
          <w:p w:rsidR="005E49F2" w:rsidRPr="001618E0" w:rsidRDefault="005E49F2" w:rsidP="005E49F2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60779D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Entidades participantes en la acción </w:t>
            </w:r>
            <w:r w:rsidRPr="0060779D">
              <w:rPr>
                <w:rFonts w:eastAsia="Calibri" w:cs="Times New Roman"/>
                <w:bCs/>
                <w:i/>
                <w:color w:val="FFFFFF" w:themeColor="background1"/>
                <w:sz w:val="20"/>
                <w:szCs w:val="20"/>
              </w:rPr>
              <w:t>(solo para agrupaciones)</w:t>
            </w:r>
          </w:p>
        </w:tc>
      </w:tr>
      <w:tr w:rsidR="00A82252" w:rsidRPr="001618E0" w:rsidTr="003E3E40">
        <w:trPr>
          <w:trHeight w:val="633"/>
        </w:trPr>
        <w:tc>
          <w:tcPr>
            <w:tcW w:w="10660" w:type="dxa"/>
            <w:gridSpan w:val="4"/>
            <w:shd w:val="clear" w:color="auto" w:fill="31849B" w:themeFill="accent5" w:themeFillShade="BF"/>
            <w:vAlign w:val="center"/>
          </w:tcPr>
          <w:p w:rsidR="00A82252" w:rsidRPr="001618E0" w:rsidRDefault="00A82252" w:rsidP="00A82252">
            <w:pPr>
              <w:keepNext/>
              <w:spacing w:after="0" w:line="240" w:lineRule="auto"/>
              <w:ind w:left="28" w:right="28"/>
              <w:jc w:val="both"/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Descripción de la acción </w:t>
            </w:r>
            <w:r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(A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portar la información necesaria para explicar su alcance, detallando las fases/tareas que engloba, demostrando su contribución a los </w:t>
            </w:r>
            <w:r w:rsidR="000F4DE9"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objetivos</w:t>
            </w:r>
            <w:r w:rsidR="000C05DE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y</w:t>
            </w:r>
            <w:r w:rsidR="000F4DE9"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haciendo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mención específica a los resultados esperados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. 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Cuando la acción se ejecute en agrupación, especificar cómo se plantea el reparto de trabajo por entidad)</w:t>
            </w:r>
            <w:r w:rsidR="008F2D12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A82252" w:rsidRPr="001618E0" w:rsidTr="004E36AE">
        <w:trPr>
          <w:trHeight w:val="442"/>
        </w:trPr>
        <w:tc>
          <w:tcPr>
            <w:tcW w:w="10660" w:type="dxa"/>
            <w:gridSpan w:val="4"/>
          </w:tcPr>
          <w:p w:rsidR="000C4263" w:rsidRDefault="00CF154F" w:rsidP="00377462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>El objetivo de</w:t>
            </w:r>
            <w:r w:rsidR="008F6011">
              <w:rPr>
                <w:rFonts w:eastAsia="Calibri" w:cs="Times New Roman"/>
                <w:iCs/>
                <w:sz w:val="20"/>
                <w:szCs w:val="20"/>
              </w:rPr>
              <w:t xml:space="preserve">l Plan de Infraestructura Verde y Azul de Andújar es </w:t>
            </w:r>
            <w:r w:rsidR="006177A7">
              <w:rPr>
                <w:rFonts w:eastAsia="Calibri" w:cs="Times New Roman"/>
                <w:iCs/>
                <w:sz w:val="20"/>
                <w:szCs w:val="20"/>
              </w:rPr>
              <w:t>articular</w:t>
            </w:r>
            <w:r w:rsidR="007E70C0">
              <w:rPr>
                <w:rFonts w:eastAsia="Calibri" w:cs="Times New Roman"/>
                <w:iCs/>
                <w:sz w:val="20"/>
                <w:szCs w:val="20"/>
              </w:rPr>
              <w:t xml:space="preserve"> el proceso de </w:t>
            </w:r>
            <w:proofErr w:type="spellStart"/>
            <w:r w:rsidR="007E70C0">
              <w:rPr>
                <w:rFonts w:eastAsia="Calibri" w:cs="Times New Roman"/>
                <w:iCs/>
                <w:sz w:val="20"/>
                <w:szCs w:val="20"/>
              </w:rPr>
              <w:t>renaturalización</w:t>
            </w:r>
            <w:proofErr w:type="spellEnd"/>
            <w:r w:rsidR="007E70C0">
              <w:rPr>
                <w:rFonts w:eastAsia="Calibri" w:cs="Times New Roman"/>
                <w:iCs/>
                <w:sz w:val="20"/>
                <w:szCs w:val="20"/>
              </w:rPr>
              <w:t xml:space="preserve"> del municipio</w:t>
            </w:r>
            <w:r w:rsidR="00AB0964">
              <w:rPr>
                <w:rFonts w:eastAsia="Calibri" w:cs="Times New Roman"/>
                <w:iCs/>
                <w:sz w:val="20"/>
                <w:szCs w:val="20"/>
              </w:rPr>
              <w:t xml:space="preserve">, </w:t>
            </w:r>
            <w:r w:rsidR="0064098D">
              <w:rPr>
                <w:rFonts w:eastAsia="Calibri" w:cs="Times New Roman"/>
                <w:iCs/>
                <w:sz w:val="20"/>
                <w:szCs w:val="20"/>
              </w:rPr>
              <w:t>elaborándose una</w:t>
            </w:r>
            <w:r w:rsidR="00AB0964">
              <w:rPr>
                <w:rFonts w:eastAsia="Calibri" w:cs="Times New Roman"/>
                <w:iCs/>
                <w:sz w:val="20"/>
                <w:szCs w:val="20"/>
              </w:rPr>
              <w:t xml:space="preserve"> estrategia </w:t>
            </w:r>
            <w:r w:rsidR="0064098D">
              <w:rPr>
                <w:rFonts w:eastAsia="Calibri" w:cs="Times New Roman"/>
                <w:iCs/>
                <w:sz w:val="20"/>
                <w:szCs w:val="20"/>
              </w:rPr>
              <w:t xml:space="preserve">que sea capaz de dotar </w:t>
            </w:r>
            <w:r w:rsidR="00AB0964">
              <w:rPr>
                <w:rFonts w:eastAsia="Calibri" w:cs="Times New Roman"/>
                <w:iCs/>
                <w:sz w:val="20"/>
                <w:szCs w:val="20"/>
              </w:rPr>
              <w:t>a su IV local de coherencia</w:t>
            </w:r>
            <w:r w:rsidR="00827936">
              <w:rPr>
                <w:rFonts w:eastAsia="Calibri" w:cs="Times New Roman"/>
                <w:iCs/>
                <w:sz w:val="20"/>
                <w:szCs w:val="20"/>
              </w:rPr>
              <w:t xml:space="preserve"> y</w:t>
            </w:r>
            <w:r w:rsidR="00AB0964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AB0964">
              <w:rPr>
                <w:rFonts w:eastAsia="Calibri" w:cs="Times New Roman"/>
                <w:iCs/>
                <w:sz w:val="20"/>
                <w:szCs w:val="20"/>
              </w:rPr>
              <w:t>resiliencia</w:t>
            </w:r>
            <w:proofErr w:type="spellEnd"/>
            <w:r w:rsidR="00827936">
              <w:rPr>
                <w:rFonts w:eastAsia="Calibri" w:cs="Times New Roman"/>
                <w:iCs/>
                <w:sz w:val="20"/>
                <w:szCs w:val="20"/>
              </w:rPr>
              <w:t xml:space="preserve"> y </w:t>
            </w:r>
            <w:r w:rsidR="0064098D">
              <w:rPr>
                <w:rFonts w:eastAsia="Calibri" w:cs="Times New Roman"/>
                <w:iCs/>
                <w:sz w:val="20"/>
                <w:szCs w:val="20"/>
              </w:rPr>
              <w:t xml:space="preserve">de adaptar Andújar </w:t>
            </w:r>
            <w:r w:rsidR="009B575F">
              <w:rPr>
                <w:rFonts w:eastAsia="Calibri" w:cs="Times New Roman"/>
                <w:iCs/>
                <w:sz w:val="20"/>
                <w:szCs w:val="20"/>
              </w:rPr>
              <w:t>al cambio climático</w:t>
            </w:r>
            <w:r w:rsidR="00CB5BF9">
              <w:rPr>
                <w:rFonts w:eastAsia="Calibri" w:cs="Times New Roman"/>
                <w:iCs/>
                <w:sz w:val="20"/>
                <w:szCs w:val="20"/>
              </w:rPr>
              <w:t xml:space="preserve">, empleando la </w:t>
            </w:r>
            <w:r w:rsidR="009B575F">
              <w:rPr>
                <w:rFonts w:eastAsia="Calibri" w:cs="Times New Roman"/>
                <w:iCs/>
                <w:sz w:val="20"/>
                <w:szCs w:val="20"/>
              </w:rPr>
              <w:t xml:space="preserve">IV y </w:t>
            </w:r>
            <w:r w:rsidR="00CB5BF9">
              <w:rPr>
                <w:rFonts w:eastAsia="Calibri" w:cs="Times New Roman"/>
                <w:iCs/>
                <w:sz w:val="20"/>
                <w:szCs w:val="20"/>
              </w:rPr>
              <w:t xml:space="preserve">la </w:t>
            </w:r>
            <w:r w:rsidR="009B575F">
              <w:rPr>
                <w:rFonts w:eastAsia="Calibri" w:cs="Times New Roman"/>
                <w:iCs/>
                <w:sz w:val="20"/>
                <w:szCs w:val="20"/>
              </w:rPr>
              <w:t>biodiversida</w:t>
            </w:r>
            <w:r w:rsidR="00CB5BF9">
              <w:rPr>
                <w:rFonts w:eastAsia="Calibri" w:cs="Times New Roman"/>
                <w:iCs/>
                <w:sz w:val="20"/>
                <w:szCs w:val="20"/>
              </w:rPr>
              <w:t>d como herramientas.</w:t>
            </w:r>
            <w:r w:rsidR="005457E9">
              <w:rPr>
                <w:rFonts w:eastAsia="Calibri" w:cs="Times New Roman"/>
                <w:iCs/>
                <w:sz w:val="20"/>
                <w:szCs w:val="20"/>
              </w:rPr>
              <w:t xml:space="preserve"> La elaboración de</w:t>
            </w:r>
            <w:r w:rsidR="002579BF">
              <w:rPr>
                <w:rFonts w:eastAsia="Calibri" w:cs="Times New Roman"/>
                <w:iCs/>
                <w:sz w:val="20"/>
                <w:szCs w:val="20"/>
              </w:rPr>
              <w:t>l Plan será contratada por el Ayuntamiento</w:t>
            </w:r>
            <w:r w:rsidR="00F1055F">
              <w:rPr>
                <w:rFonts w:eastAsia="Calibri" w:cs="Times New Roman"/>
                <w:iCs/>
                <w:sz w:val="20"/>
                <w:szCs w:val="20"/>
              </w:rPr>
              <w:t xml:space="preserve">, el cual será responsable de </w:t>
            </w:r>
            <w:r w:rsidR="00A0172D">
              <w:rPr>
                <w:rFonts w:eastAsia="Calibri" w:cs="Times New Roman"/>
                <w:iCs/>
                <w:sz w:val="20"/>
                <w:szCs w:val="20"/>
              </w:rPr>
              <w:t>la</w:t>
            </w:r>
            <w:r w:rsidR="00F1055F">
              <w:rPr>
                <w:rFonts w:eastAsia="Calibri" w:cs="Times New Roman"/>
                <w:iCs/>
                <w:sz w:val="20"/>
                <w:szCs w:val="20"/>
              </w:rPr>
              <w:t xml:space="preserve"> coordinación, supervisión e integración de la participación pública</w:t>
            </w:r>
            <w:r w:rsidR="007077AB">
              <w:rPr>
                <w:rFonts w:eastAsia="Calibri" w:cs="Times New Roman"/>
                <w:iCs/>
                <w:sz w:val="20"/>
                <w:szCs w:val="20"/>
              </w:rPr>
              <w:t xml:space="preserve"> en el proceso.</w:t>
            </w:r>
            <w:r w:rsidR="004C7FB1">
              <w:rPr>
                <w:rFonts w:eastAsia="Calibri" w:cs="Times New Roman"/>
                <w:iCs/>
                <w:sz w:val="20"/>
                <w:szCs w:val="20"/>
              </w:rPr>
              <w:t xml:space="preserve"> La elaboración de la Acción A1 se estructurará en l</w:t>
            </w:r>
            <w:r w:rsidR="00F465BB">
              <w:rPr>
                <w:rFonts w:eastAsia="Calibri" w:cs="Times New Roman"/>
                <w:iCs/>
                <w:sz w:val="20"/>
                <w:szCs w:val="20"/>
              </w:rPr>
              <w:t>a</w:t>
            </w:r>
            <w:r w:rsidR="004C7FB1">
              <w:rPr>
                <w:rFonts w:eastAsia="Calibri" w:cs="Times New Roman"/>
                <w:iCs/>
                <w:sz w:val="20"/>
                <w:szCs w:val="20"/>
              </w:rPr>
              <w:t xml:space="preserve">s siguientes </w:t>
            </w:r>
            <w:r w:rsidR="00F465BB">
              <w:rPr>
                <w:rFonts w:eastAsia="Calibri" w:cs="Times New Roman"/>
                <w:iCs/>
                <w:sz w:val="20"/>
                <w:szCs w:val="20"/>
              </w:rPr>
              <w:t>actuaciones</w:t>
            </w:r>
            <w:r w:rsidR="004C7FB1">
              <w:rPr>
                <w:rFonts w:eastAsia="Calibri" w:cs="Times New Roman"/>
                <w:iCs/>
                <w:sz w:val="20"/>
                <w:szCs w:val="20"/>
              </w:rPr>
              <w:t xml:space="preserve">: </w:t>
            </w:r>
          </w:p>
          <w:p w:rsidR="00CB5BF9" w:rsidRDefault="000C4263" w:rsidP="003949DD">
            <w:pPr>
              <w:spacing w:after="0" w:line="240" w:lineRule="auto"/>
              <w:rPr>
                <w:rFonts w:eastAsia="Calibri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0C4263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Act</w:t>
            </w:r>
            <w:proofErr w:type="spellEnd"/>
            <w:r w:rsidRPr="000C4263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1) Proceso</w:t>
            </w:r>
            <w:r w:rsidRPr="003949DD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administrativo de licitación y adjudicación de la redacción </w:t>
            </w:r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del Plan</w:t>
            </w:r>
          </w:p>
          <w:p w:rsidR="00915737" w:rsidRDefault="00915737" w:rsidP="00915737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Act</w:t>
            </w:r>
            <w:proofErr w:type="spellEnd"/>
            <w:r w:rsidR="00A34DBA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2) Establecimiento de la gobernanza y mecanismos de coordinación: </w:t>
            </w:r>
            <w:r>
              <w:rPr>
                <w:rFonts w:eastAsia="Calibri" w:cs="Times New Roman"/>
                <w:iCs/>
                <w:sz w:val="20"/>
                <w:szCs w:val="20"/>
              </w:rPr>
              <w:t xml:space="preserve">Tras la contratación, el primer paso será establecer los mecanismos de coordinación y gobernanza para la elaboración, marcando de qué manera se va a integrar la participación </w:t>
            </w:r>
            <w:r>
              <w:rPr>
                <w:rFonts w:eastAsia="Calibri" w:cs="Times New Roman"/>
                <w:iCs/>
                <w:sz w:val="20"/>
                <w:szCs w:val="20"/>
              </w:rPr>
              <w:lastRenderedPageBreak/>
              <w:t xml:space="preserve">(Acción C1: creación del Consejo y Comisión, activación del Foro, calendarización de estas mesas de trabajo, agentes y áreas municipales a involucrar, etc.) y </w:t>
            </w:r>
            <w:r w:rsidR="00A34DBA">
              <w:rPr>
                <w:rFonts w:eastAsia="Calibri" w:cs="Times New Roman"/>
                <w:iCs/>
                <w:sz w:val="20"/>
                <w:szCs w:val="20"/>
              </w:rPr>
              <w:t xml:space="preserve">cómo se hará </w:t>
            </w:r>
            <w:r>
              <w:rPr>
                <w:rFonts w:eastAsia="Calibri" w:cs="Times New Roman"/>
                <w:iCs/>
                <w:sz w:val="20"/>
                <w:szCs w:val="20"/>
              </w:rPr>
              <w:t xml:space="preserve">la comunicación de esta Acción A1 (Acción C2). </w:t>
            </w:r>
            <w:r w:rsidR="00D64734">
              <w:rPr>
                <w:rFonts w:eastAsia="Calibri" w:cs="Times New Roman"/>
                <w:iCs/>
                <w:sz w:val="20"/>
                <w:szCs w:val="20"/>
              </w:rPr>
              <w:t>La elaboración del Plan será liderad</w:t>
            </w:r>
            <w:r w:rsidR="00823828">
              <w:rPr>
                <w:rFonts w:eastAsia="Calibri" w:cs="Times New Roman"/>
                <w:iCs/>
                <w:sz w:val="20"/>
                <w:szCs w:val="20"/>
              </w:rPr>
              <w:t>a</w:t>
            </w:r>
            <w:r w:rsidR="00D64734">
              <w:rPr>
                <w:rFonts w:eastAsia="Calibri" w:cs="Times New Roman"/>
                <w:iCs/>
                <w:sz w:val="20"/>
                <w:szCs w:val="20"/>
              </w:rPr>
              <w:t xml:space="preserve"> por la Oficina Técnica Municipal (ver Acción C1)</w:t>
            </w:r>
            <w:r w:rsidR="00C219D3">
              <w:rPr>
                <w:rFonts w:eastAsia="Calibri" w:cs="Times New Roman"/>
                <w:iCs/>
                <w:sz w:val="20"/>
                <w:szCs w:val="20"/>
              </w:rPr>
              <w:t xml:space="preserve">, </w:t>
            </w:r>
            <w:r w:rsidR="00823828">
              <w:rPr>
                <w:rFonts w:eastAsia="Calibri" w:cs="Times New Roman"/>
                <w:iCs/>
                <w:sz w:val="20"/>
                <w:szCs w:val="20"/>
              </w:rPr>
              <w:t xml:space="preserve">la cual </w:t>
            </w:r>
            <w:r w:rsidR="00C219D3">
              <w:rPr>
                <w:rFonts w:eastAsia="Calibri" w:cs="Times New Roman"/>
                <w:iCs/>
                <w:sz w:val="20"/>
                <w:szCs w:val="20"/>
              </w:rPr>
              <w:t xml:space="preserve">convocará </w:t>
            </w:r>
            <w:r w:rsidR="00823828">
              <w:rPr>
                <w:rFonts w:eastAsia="Calibri" w:cs="Times New Roman"/>
                <w:iCs/>
                <w:sz w:val="20"/>
                <w:szCs w:val="20"/>
              </w:rPr>
              <w:t xml:space="preserve">al Consejo, Comisión o Foro </w:t>
            </w:r>
            <w:r w:rsidR="00C219D3">
              <w:rPr>
                <w:rFonts w:eastAsia="Calibri" w:cs="Times New Roman"/>
                <w:iCs/>
                <w:sz w:val="20"/>
                <w:szCs w:val="20"/>
              </w:rPr>
              <w:t xml:space="preserve">según necesidades </w:t>
            </w:r>
            <w:r w:rsidR="00823828">
              <w:rPr>
                <w:rFonts w:eastAsia="Calibri" w:cs="Times New Roman"/>
                <w:iCs/>
                <w:sz w:val="20"/>
                <w:szCs w:val="20"/>
              </w:rPr>
              <w:t>(</w:t>
            </w:r>
            <w:r w:rsidR="00C219D3">
              <w:rPr>
                <w:rFonts w:eastAsia="Calibri" w:cs="Times New Roman"/>
                <w:iCs/>
                <w:sz w:val="20"/>
                <w:szCs w:val="20"/>
              </w:rPr>
              <w:t>C1).</w:t>
            </w:r>
          </w:p>
          <w:p w:rsidR="001E391E" w:rsidRDefault="000C4263" w:rsidP="001E391E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Act</w:t>
            </w:r>
            <w:proofErr w:type="spellEnd"/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A34DBA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3</w:t>
            </w:r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) Revisión y puesta en común de la documentación y datos existentes</w:t>
            </w:r>
            <w:r w:rsidR="00915737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:</w:t>
            </w:r>
            <w:r w:rsidR="00915737" w:rsidRPr="003A0518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C219D3">
              <w:rPr>
                <w:rFonts w:eastAsia="Calibri" w:cs="Times New Roman"/>
                <w:iCs/>
                <w:sz w:val="20"/>
                <w:szCs w:val="20"/>
              </w:rPr>
              <w:t>S</w:t>
            </w:r>
            <w:r w:rsidR="003A0518">
              <w:rPr>
                <w:rFonts w:eastAsia="Calibri" w:cs="Times New Roman"/>
                <w:iCs/>
                <w:sz w:val="20"/>
                <w:szCs w:val="20"/>
              </w:rPr>
              <w:t xml:space="preserve">e realizará una puesta en común de toda la información, datos y documentos de los que dispone el Ayuntamiento (Agenda Urbana, Mapa de zonas verdes, localización </w:t>
            </w:r>
            <w:proofErr w:type="spellStart"/>
            <w:r w:rsidR="003A0518">
              <w:rPr>
                <w:rFonts w:eastAsia="Calibri" w:cs="Times New Roman"/>
                <w:iCs/>
                <w:sz w:val="20"/>
                <w:szCs w:val="20"/>
              </w:rPr>
              <w:t>georreferenciada</w:t>
            </w:r>
            <w:proofErr w:type="spellEnd"/>
            <w:r w:rsidR="003A0518">
              <w:rPr>
                <w:rFonts w:eastAsia="Calibri" w:cs="Times New Roman"/>
                <w:iCs/>
                <w:sz w:val="20"/>
                <w:szCs w:val="20"/>
              </w:rPr>
              <w:t xml:space="preserve"> de su arbolado, etc.), así como de los distintos instrumentos con afección sobre la IV municipal (Plan Hidrológico del Guadalquivir 2022-2027 o PORN y PRUG del PN de la Sierra de Andújar). Se identificarán también los documentos supramunic</w:t>
            </w:r>
            <w:r w:rsidR="00143ACA">
              <w:rPr>
                <w:rFonts w:eastAsia="Calibri" w:cs="Times New Roman"/>
                <w:iCs/>
                <w:sz w:val="20"/>
                <w:szCs w:val="20"/>
              </w:rPr>
              <w:t xml:space="preserve">ipales en los que deberá encuadrarse el presente Plan, principalmente la ENIVCRE y </w:t>
            </w:r>
            <w:r w:rsidR="001E391E">
              <w:rPr>
                <w:rFonts w:eastAsia="Calibri" w:cs="Times New Roman"/>
                <w:iCs/>
                <w:sz w:val="20"/>
                <w:szCs w:val="20"/>
              </w:rPr>
              <w:t xml:space="preserve">el </w:t>
            </w:r>
            <w:r w:rsidR="001E391E" w:rsidRPr="001E391E">
              <w:rPr>
                <w:rFonts w:eastAsia="Calibri" w:cs="Times New Roman"/>
                <w:iCs/>
                <w:sz w:val="20"/>
                <w:szCs w:val="20"/>
              </w:rPr>
              <w:t>Plan de Mejora de la Conectividad Ecológica de Andalucía</w:t>
            </w:r>
            <w:r w:rsidR="001E391E">
              <w:rPr>
                <w:rFonts w:eastAsia="Calibri" w:cs="Times New Roman"/>
                <w:iCs/>
                <w:sz w:val="20"/>
                <w:szCs w:val="20"/>
              </w:rPr>
              <w:t>.</w:t>
            </w:r>
            <w:r w:rsidR="004139B0">
              <w:rPr>
                <w:rFonts w:eastAsia="Calibri" w:cs="Times New Roman"/>
                <w:iCs/>
                <w:sz w:val="20"/>
                <w:szCs w:val="20"/>
              </w:rPr>
              <w:t xml:space="preserve"> Para esta fase será crucial el Consejo, con la participación de </w:t>
            </w:r>
            <w:r w:rsidR="00422042">
              <w:rPr>
                <w:rFonts w:eastAsia="Calibri" w:cs="Times New Roman"/>
                <w:iCs/>
                <w:sz w:val="20"/>
                <w:szCs w:val="20"/>
              </w:rPr>
              <w:t>otras</w:t>
            </w:r>
            <w:r w:rsidR="004139B0">
              <w:rPr>
                <w:rFonts w:eastAsia="Calibri" w:cs="Times New Roman"/>
                <w:iCs/>
                <w:sz w:val="20"/>
                <w:szCs w:val="20"/>
              </w:rPr>
              <w:t xml:space="preserve"> áreas municipales.</w:t>
            </w:r>
          </w:p>
          <w:p w:rsidR="003949DD" w:rsidRDefault="00F465BB" w:rsidP="004818ED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proofErr w:type="spellStart"/>
            <w:r w:rsidRPr="00F465BB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Act</w:t>
            </w:r>
            <w:proofErr w:type="spellEnd"/>
            <w:r w:rsidRPr="00F465BB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4) Identificación de los elementos </w:t>
            </w:r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c</w:t>
            </w:r>
            <w:r w:rsidRPr="00F465BB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onstituyentes de la trama de IV local:</w:t>
            </w:r>
            <w:r w:rsidR="004818ED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024D6C">
              <w:rPr>
                <w:rFonts w:eastAsia="Calibri" w:cs="Times New Roman"/>
                <w:iCs/>
                <w:sz w:val="20"/>
                <w:szCs w:val="20"/>
              </w:rPr>
              <w:t>Se llevar</w:t>
            </w:r>
            <w:r w:rsidR="00BA6F2C">
              <w:rPr>
                <w:rFonts w:eastAsia="Calibri" w:cs="Times New Roman"/>
                <w:iCs/>
                <w:sz w:val="20"/>
                <w:szCs w:val="20"/>
              </w:rPr>
              <w:t>á</w:t>
            </w:r>
            <w:r w:rsidR="00024D6C">
              <w:rPr>
                <w:rFonts w:eastAsia="Calibri" w:cs="Times New Roman"/>
                <w:iCs/>
                <w:sz w:val="20"/>
                <w:szCs w:val="20"/>
              </w:rPr>
              <w:t xml:space="preserve"> cabo un trabajo de gabinete (GIS) y campo para clasificar todos los elementos de la IV </w:t>
            </w:r>
            <w:r w:rsidR="00BA6F2C">
              <w:rPr>
                <w:rFonts w:eastAsia="Calibri" w:cs="Times New Roman"/>
                <w:iCs/>
                <w:sz w:val="20"/>
                <w:szCs w:val="20"/>
              </w:rPr>
              <w:t>de Andújar</w:t>
            </w:r>
            <w:r w:rsidR="00DC13C1">
              <w:rPr>
                <w:rFonts w:eastAsia="Calibri" w:cs="Times New Roman"/>
                <w:iCs/>
                <w:sz w:val="20"/>
                <w:szCs w:val="20"/>
              </w:rPr>
              <w:t xml:space="preserve">, </w:t>
            </w:r>
            <w:r w:rsidR="0005168B">
              <w:rPr>
                <w:rFonts w:eastAsia="Calibri" w:cs="Times New Roman"/>
                <w:iCs/>
                <w:sz w:val="20"/>
                <w:szCs w:val="20"/>
              </w:rPr>
              <w:t xml:space="preserve">definiendo la escala y </w:t>
            </w:r>
            <w:r w:rsidR="00EB235C">
              <w:rPr>
                <w:rFonts w:eastAsia="Calibri" w:cs="Times New Roman"/>
                <w:iCs/>
                <w:sz w:val="20"/>
                <w:szCs w:val="20"/>
              </w:rPr>
              <w:t>clasificándo</w:t>
            </w:r>
            <w:r w:rsidR="007346F9">
              <w:rPr>
                <w:rFonts w:eastAsia="Calibri" w:cs="Times New Roman"/>
                <w:iCs/>
                <w:sz w:val="20"/>
                <w:szCs w:val="20"/>
              </w:rPr>
              <w:t>los en base a</w:t>
            </w:r>
            <w:r w:rsidR="00DC13C1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024D6C">
              <w:rPr>
                <w:rFonts w:eastAsia="Calibri" w:cs="Times New Roman"/>
                <w:iCs/>
                <w:sz w:val="20"/>
                <w:szCs w:val="20"/>
              </w:rPr>
              <w:t>l</w:t>
            </w:r>
            <w:r w:rsidR="007346F9">
              <w:rPr>
                <w:rFonts w:eastAsia="Calibri" w:cs="Times New Roman"/>
                <w:iCs/>
                <w:sz w:val="20"/>
                <w:szCs w:val="20"/>
              </w:rPr>
              <w:t xml:space="preserve">os preceptos de </w:t>
            </w:r>
            <w:r w:rsidR="001D6BE7">
              <w:rPr>
                <w:rFonts w:eastAsia="Calibri" w:cs="Times New Roman"/>
                <w:iCs/>
                <w:sz w:val="20"/>
                <w:szCs w:val="20"/>
              </w:rPr>
              <w:t>las Bases científico-técnicas de la</w:t>
            </w:r>
            <w:r w:rsidR="00024D6C">
              <w:rPr>
                <w:rFonts w:eastAsia="Calibri" w:cs="Times New Roman"/>
                <w:iCs/>
                <w:sz w:val="20"/>
                <w:szCs w:val="20"/>
              </w:rPr>
              <w:t xml:space="preserve"> ENIVCRE</w:t>
            </w:r>
            <w:r w:rsidR="007346F9">
              <w:rPr>
                <w:rFonts w:eastAsia="Calibri" w:cs="Times New Roman"/>
                <w:iCs/>
                <w:sz w:val="20"/>
                <w:szCs w:val="20"/>
              </w:rPr>
              <w:t>. Serán caracterizados y se evaluará</w:t>
            </w:r>
            <w:r w:rsidR="001C5500">
              <w:rPr>
                <w:rFonts w:eastAsia="Calibri" w:cs="Times New Roman"/>
                <w:iCs/>
                <w:sz w:val="20"/>
                <w:szCs w:val="20"/>
              </w:rPr>
              <w:t xml:space="preserve"> su contribución en términos de conectividad ecológica, biodiversidad y su estado de conservación. Este conocimiento será ampliado a través de la asignación de variables como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 xml:space="preserve"> funcionalidad social</w:t>
            </w:r>
            <w:r w:rsidR="001C5500">
              <w:rPr>
                <w:rFonts w:eastAsia="Calibri" w:cs="Times New Roman"/>
                <w:iCs/>
                <w:sz w:val="20"/>
                <w:szCs w:val="20"/>
              </w:rPr>
              <w:t>, intensidad de uso público, grado de naturalización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 xml:space="preserve">, reporte en términos de servicios </w:t>
            </w:r>
            <w:proofErr w:type="spellStart"/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>ecosistémicos</w:t>
            </w:r>
            <w:proofErr w:type="spellEnd"/>
            <w:r w:rsidR="00CA0FC2">
              <w:rPr>
                <w:rFonts w:eastAsia="Calibri" w:cs="Times New Roman"/>
                <w:iCs/>
                <w:sz w:val="20"/>
                <w:szCs w:val="20"/>
              </w:rPr>
              <w:t xml:space="preserve"> (</w:t>
            </w:r>
            <w:proofErr w:type="spellStart"/>
            <w:r w:rsidR="00CA0FC2">
              <w:rPr>
                <w:rFonts w:eastAsia="Calibri" w:cs="Times New Roman"/>
                <w:iCs/>
                <w:sz w:val="20"/>
                <w:szCs w:val="20"/>
              </w:rPr>
              <w:t>e.g.</w:t>
            </w:r>
            <w:proofErr w:type="spellEnd"/>
            <w:r w:rsidR="00CA0FC2">
              <w:rPr>
                <w:rFonts w:eastAsia="Calibri" w:cs="Times New Roman"/>
                <w:iCs/>
                <w:sz w:val="20"/>
                <w:szCs w:val="20"/>
              </w:rPr>
              <w:t xml:space="preserve"> VANE)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 xml:space="preserve"> y desafíos climáticos que pueden ayudar a hacer frente, así como encuadre en otras figuras de normativas o de planificación (Red Natura 2000, etc.).</w:t>
            </w:r>
          </w:p>
          <w:p w:rsidR="003949DD" w:rsidRPr="003949DD" w:rsidRDefault="00BA6F2C" w:rsidP="005A34D8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proofErr w:type="spellStart"/>
            <w:r w:rsidRPr="00F465BB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Act</w:t>
            </w:r>
            <w:proofErr w:type="spellEnd"/>
            <w:r w:rsidRPr="00F465BB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5</w:t>
            </w:r>
            <w:r w:rsidRPr="00F465BB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)</w:t>
            </w:r>
            <w:r w:rsidR="0005168B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05168B" w:rsidRPr="003949DD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Inventario de arbolado </w:t>
            </w:r>
            <w:r w:rsidR="0005168B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de Andújar:</w:t>
            </w:r>
            <w:r w:rsidR="008D571E">
              <w:rPr>
                <w:rFonts w:eastAsia="Calibri" w:cs="Times New Roman"/>
                <w:iCs/>
                <w:sz w:val="20"/>
                <w:szCs w:val="20"/>
              </w:rPr>
              <w:t xml:space="preserve"> El Ayuntamiento cuenta con </w:t>
            </w:r>
            <w:r w:rsidR="00151ECA">
              <w:rPr>
                <w:rFonts w:eastAsia="Calibri" w:cs="Times New Roman"/>
                <w:iCs/>
                <w:sz w:val="20"/>
                <w:szCs w:val="20"/>
              </w:rPr>
              <w:t xml:space="preserve">un inventario de arbolado </w:t>
            </w:r>
            <w:r w:rsidR="00DD4100">
              <w:rPr>
                <w:rFonts w:eastAsia="Calibri" w:cs="Times New Roman"/>
                <w:iCs/>
                <w:sz w:val="20"/>
                <w:szCs w:val="20"/>
              </w:rPr>
              <w:t xml:space="preserve">urbano </w:t>
            </w:r>
            <w:r w:rsidR="00151ECA">
              <w:rPr>
                <w:rFonts w:eastAsia="Calibri" w:cs="Times New Roman"/>
                <w:iCs/>
                <w:sz w:val="20"/>
                <w:szCs w:val="20"/>
              </w:rPr>
              <w:t xml:space="preserve">de hace 4 años, siendo esta la oportunidad para actualizarlo </w:t>
            </w:r>
            <w:r w:rsidR="00B20147">
              <w:rPr>
                <w:rFonts w:eastAsia="Calibri" w:cs="Times New Roman"/>
                <w:iCs/>
                <w:sz w:val="20"/>
                <w:szCs w:val="20"/>
              </w:rPr>
              <w:t xml:space="preserve">en base a nuevas intervenciones. Se busca ampliar este inventario </w:t>
            </w:r>
            <w:r w:rsidR="00844D06">
              <w:rPr>
                <w:rFonts w:eastAsia="Calibri" w:cs="Times New Roman"/>
                <w:iCs/>
                <w:sz w:val="20"/>
                <w:szCs w:val="20"/>
              </w:rPr>
              <w:t xml:space="preserve">mediante la asignación de valores y otras variables, proponiendo </w:t>
            </w:r>
            <w:r w:rsidR="0075272E">
              <w:rPr>
                <w:rFonts w:eastAsia="Calibri" w:cs="Times New Roman"/>
                <w:iCs/>
                <w:sz w:val="20"/>
                <w:szCs w:val="20"/>
              </w:rPr>
              <w:t xml:space="preserve">preliminarmente: </w:t>
            </w:r>
            <w:r w:rsidR="0075272E" w:rsidRPr="003949DD">
              <w:rPr>
                <w:rFonts w:eastAsia="Calibri" w:cs="Times New Roman"/>
                <w:iCs/>
                <w:sz w:val="20"/>
                <w:szCs w:val="20"/>
              </w:rPr>
              <w:t xml:space="preserve">Especie, variedad, </w:t>
            </w:r>
            <w:r w:rsidR="0075272E">
              <w:rPr>
                <w:rFonts w:eastAsia="Calibri" w:cs="Times New Roman"/>
                <w:iCs/>
                <w:sz w:val="20"/>
                <w:szCs w:val="20"/>
              </w:rPr>
              <w:t xml:space="preserve">grado de </w:t>
            </w:r>
            <w:proofErr w:type="spellStart"/>
            <w:r w:rsidR="0075272E">
              <w:rPr>
                <w:rFonts w:eastAsia="Calibri" w:cs="Times New Roman"/>
                <w:iCs/>
                <w:sz w:val="20"/>
                <w:szCs w:val="20"/>
              </w:rPr>
              <w:t>autoctoneidad</w:t>
            </w:r>
            <w:proofErr w:type="spellEnd"/>
            <w:r w:rsidR="0075272E" w:rsidRPr="003949DD">
              <w:rPr>
                <w:rFonts w:eastAsia="Calibri" w:cs="Times New Roman"/>
                <w:iCs/>
                <w:sz w:val="20"/>
                <w:szCs w:val="20"/>
              </w:rPr>
              <w:t>, edad, altura, diámetro, estado sanitario (hongos, xilófagos), fracción de cabida cubierta, estado foliar, estado de fuste, ramaje y podas, estado de suelo/alcorque, funcionalidad estética, accesibilidad</w:t>
            </w:r>
            <w:r w:rsidR="00406D75">
              <w:rPr>
                <w:rFonts w:eastAsia="Calibri" w:cs="Times New Roman"/>
                <w:iCs/>
                <w:sz w:val="20"/>
                <w:szCs w:val="20"/>
              </w:rPr>
              <w:t>, adecuación a escenarios climáticos</w:t>
            </w:r>
            <w:r w:rsidR="004A4937">
              <w:rPr>
                <w:rFonts w:eastAsia="Calibri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="004A4937">
              <w:rPr>
                <w:rFonts w:eastAsia="Calibri" w:cs="Times New Roman"/>
                <w:iCs/>
                <w:sz w:val="20"/>
                <w:szCs w:val="20"/>
              </w:rPr>
              <w:t>genótopo</w:t>
            </w:r>
            <w:proofErr w:type="spellEnd"/>
            <w:r w:rsidR="004A4937">
              <w:rPr>
                <w:rFonts w:eastAsia="Calibri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="004A4937">
              <w:rPr>
                <w:rFonts w:eastAsia="Calibri" w:cs="Times New Roman"/>
                <w:iCs/>
                <w:sz w:val="20"/>
                <w:szCs w:val="20"/>
              </w:rPr>
              <w:t>trofótopo</w:t>
            </w:r>
            <w:proofErr w:type="spellEnd"/>
            <w:r w:rsidR="004A4937">
              <w:rPr>
                <w:rFonts w:eastAsia="Calibri" w:cs="Times New Roman"/>
                <w:iCs/>
                <w:sz w:val="20"/>
                <w:szCs w:val="20"/>
              </w:rPr>
              <w:t xml:space="preserve">, </w:t>
            </w:r>
            <w:r w:rsidR="00BD4DA4">
              <w:rPr>
                <w:rFonts w:eastAsia="Calibri" w:cs="Times New Roman"/>
                <w:iCs/>
                <w:sz w:val="20"/>
                <w:szCs w:val="20"/>
              </w:rPr>
              <w:t>fijación de carbono</w:t>
            </w:r>
            <w:r w:rsidR="00407831">
              <w:rPr>
                <w:rFonts w:eastAsia="Calibri" w:cs="Times New Roman"/>
                <w:iCs/>
                <w:sz w:val="20"/>
                <w:szCs w:val="20"/>
              </w:rPr>
              <w:t xml:space="preserve">, reporte de servicios </w:t>
            </w:r>
            <w:proofErr w:type="spellStart"/>
            <w:r w:rsidR="00407831">
              <w:rPr>
                <w:rFonts w:eastAsia="Calibri" w:cs="Times New Roman"/>
                <w:iCs/>
                <w:sz w:val="20"/>
                <w:szCs w:val="20"/>
              </w:rPr>
              <w:t>ecosistémicos</w:t>
            </w:r>
            <w:proofErr w:type="spellEnd"/>
            <w:r w:rsidR="00407831">
              <w:rPr>
                <w:rFonts w:eastAsia="Calibri" w:cs="Times New Roman"/>
                <w:iCs/>
                <w:sz w:val="20"/>
                <w:szCs w:val="20"/>
              </w:rPr>
              <w:t>, externalidades</w:t>
            </w:r>
            <w:r w:rsidR="00A873A4">
              <w:rPr>
                <w:rFonts w:eastAsia="Calibri" w:cs="Times New Roman"/>
                <w:iCs/>
                <w:sz w:val="20"/>
                <w:szCs w:val="20"/>
              </w:rPr>
              <w:t xml:space="preserve"> (polen, frutos, etc.)</w:t>
            </w:r>
            <w:r w:rsidR="00407831">
              <w:rPr>
                <w:rFonts w:eastAsia="Calibri" w:cs="Times New Roman"/>
                <w:iCs/>
                <w:sz w:val="20"/>
                <w:szCs w:val="20"/>
              </w:rPr>
              <w:t xml:space="preserve"> o</w:t>
            </w:r>
            <w:r w:rsidR="00BD4DA4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407831">
              <w:rPr>
                <w:rFonts w:eastAsia="Calibri" w:cs="Times New Roman"/>
                <w:iCs/>
                <w:sz w:val="20"/>
                <w:szCs w:val="20"/>
              </w:rPr>
              <w:t>valor paisajístico.</w:t>
            </w:r>
            <w:r w:rsidR="005A34D8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>Para analizar dichas variables, se establecerá un protocolo de inventario.</w:t>
            </w:r>
            <w:r w:rsidR="004F75E3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</w:p>
          <w:p w:rsidR="00FB11CA" w:rsidRDefault="004F75E3" w:rsidP="003949DD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Act</w:t>
            </w:r>
            <w:proofErr w:type="spellEnd"/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6) I</w:t>
            </w:r>
            <w:r w:rsidR="003949DD" w:rsidRPr="003949DD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nventario de biodiversidad y fauna y flora invasora. 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>Se llevará a cabo un estudio pormenorizado de las especies existentes, enfocado a identificarlas y cuantificarlas por zona</w:t>
            </w:r>
            <w:r w:rsidR="00E60675">
              <w:rPr>
                <w:rFonts w:eastAsia="Calibri" w:cs="Times New Roman"/>
                <w:iCs/>
                <w:sz w:val="20"/>
                <w:szCs w:val="20"/>
              </w:rPr>
              <w:t>s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 xml:space="preserve">. </w:t>
            </w:r>
            <w:r w:rsidR="002522D7">
              <w:rPr>
                <w:rFonts w:eastAsia="Calibri" w:cs="Times New Roman"/>
                <w:iCs/>
                <w:sz w:val="20"/>
                <w:szCs w:val="20"/>
              </w:rPr>
              <w:t>Este inventario</w:t>
            </w:r>
            <w:r w:rsidR="002A4B24">
              <w:rPr>
                <w:rFonts w:eastAsia="Calibri" w:cs="Times New Roman"/>
                <w:iCs/>
                <w:sz w:val="20"/>
                <w:szCs w:val="20"/>
              </w:rPr>
              <w:t xml:space="preserve"> se realizará de manera sistemática en la trama urbana y</w:t>
            </w:r>
            <w:r w:rsidR="006329AB">
              <w:rPr>
                <w:rFonts w:eastAsia="Calibri" w:cs="Times New Roman"/>
                <w:iCs/>
                <w:sz w:val="20"/>
                <w:szCs w:val="20"/>
              </w:rPr>
              <w:t>, dada la extensión del municipio,</w:t>
            </w:r>
            <w:r w:rsidR="002A4B24">
              <w:rPr>
                <w:rFonts w:eastAsia="Calibri" w:cs="Times New Roman"/>
                <w:iCs/>
                <w:sz w:val="20"/>
                <w:szCs w:val="20"/>
              </w:rPr>
              <w:t xml:space="preserve"> bajo enfoques </w:t>
            </w:r>
            <w:r w:rsidR="004679F7">
              <w:rPr>
                <w:rFonts w:eastAsia="Calibri" w:cs="Times New Roman"/>
                <w:iCs/>
                <w:sz w:val="20"/>
                <w:szCs w:val="20"/>
              </w:rPr>
              <w:t xml:space="preserve">de muestreo aleatorio estratificado </w:t>
            </w:r>
            <w:r w:rsidR="006329AB">
              <w:rPr>
                <w:rFonts w:eastAsia="Calibri" w:cs="Times New Roman"/>
                <w:iCs/>
                <w:sz w:val="20"/>
                <w:szCs w:val="20"/>
              </w:rPr>
              <w:t>fuera del casco.</w:t>
            </w:r>
            <w:r w:rsidR="00330431">
              <w:rPr>
                <w:rFonts w:eastAsia="Calibri" w:cs="Times New Roman"/>
                <w:iCs/>
                <w:sz w:val="20"/>
                <w:szCs w:val="20"/>
              </w:rPr>
              <w:t xml:space="preserve"> El análisis de fauna</w:t>
            </w:r>
            <w:r w:rsidR="00FE0FA8">
              <w:rPr>
                <w:rFonts w:eastAsia="Calibri" w:cs="Times New Roman"/>
                <w:iCs/>
                <w:sz w:val="20"/>
                <w:szCs w:val="20"/>
              </w:rPr>
              <w:t xml:space="preserve"> de Andújar en los entornos agrícolas, </w:t>
            </w:r>
            <w:r w:rsidR="008532CC">
              <w:rPr>
                <w:rFonts w:eastAsia="Calibri" w:cs="Times New Roman"/>
                <w:iCs/>
                <w:sz w:val="20"/>
                <w:szCs w:val="20"/>
              </w:rPr>
              <w:t>forestales</w:t>
            </w:r>
            <w:r w:rsidR="00FE0FA8">
              <w:rPr>
                <w:rFonts w:eastAsia="Calibri" w:cs="Times New Roman"/>
                <w:iCs/>
                <w:sz w:val="20"/>
                <w:szCs w:val="20"/>
              </w:rPr>
              <w:t xml:space="preserve"> y fluviales </w:t>
            </w:r>
            <w:r w:rsidR="008532CC">
              <w:rPr>
                <w:rFonts w:eastAsia="Calibri" w:cs="Times New Roman"/>
                <w:iCs/>
                <w:sz w:val="20"/>
                <w:szCs w:val="20"/>
              </w:rPr>
              <w:t>estará</w:t>
            </w:r>
            <w:r w:rsidR="00FE0FA8">
              <w:rPr>
                <w:rFonts w:eastAsia="Calibri" w:cs="Times New Roman"/>
                <w:iCs/>
                <w:sz w:val="20"/>
                <w:szCs w:val="20"/>
              </w:rPr>
              <w:t xml:space="preserve"> fuertemente </w:t>
            </w:r>
            <w:proofErr w:type="gramStart"/>
            <w:r w:rsidR="008532CC">
              <w:rPr>
                <w:rFonts w:eastAsia="Calibri" w:cs="Times New Roman"/>
                <w:iCs/>
                <w:sz w:val="20"/>
                <w:szCs w:val="20"/>
              </w:rPr>
              <w:t>sustentada</w:t>
            </w:r>
            <w:proofErr w:type="gramEnd"/>
            <w:r w:rsidR="008532CC">
              <w:rPr>
                <w:rFonts w:eastAsia="Calibri" w:cs="Times New Roman"/>
                <w:iCs/>
                <w:sz w:val="20"/>
                <w:szCs w:val="20"/>
              </w:rPr>
              <w:t xml:space="preserve"> en</w:t>
            </w:r>
            <w:r w:rsidR="00FE0FA8">
              <w:rPr>
                <w:rFonts w:eastAsia="Calibri" w:cs="Times New Roman"/>
                <w:iCs/>
                <w:sz w:val="20"/>
                <w:szCs w:val="20"/>
              </w:rPr>
              <w:t xml:space="preserve"> bibliografía </w:t>
            </w:r>
            <w:r w:rsidR="008532CC">
              <w:rPr>
                <w:rFonts w:eastAsia="Calibri" w:cs="Times New Roman"/>
                <w:iCs/>
                <w:sz w:val="20"/>
                <w:szCs w:val="20"/>
              </w:rPr>
              <w:t>previa</w:t>
            </w:r>
            <w:r w:rsidR="00FE0FA8">
              <w:rPr>
                <w:rFonts w:eastAsia="Calibri" w:cs="Times New Roman"/>
                <w:iCs/>
                <w:sz w:val="20"/>
                <w:szCs w:val="20"/>
              </w:rPr>
              <w:t>, ya que al ser su sierra Parque Natural</w:t>
            </w:r>
            <w:r w:rsidR="009F2021">
              <w:rPr>
                <w:rFonts w:eastAsia="Calibri" w:cs="Times New Roman"/>
                <w:iCs/>
                <w:sz w:val="20"/>
                <w:szCs w:val="20"/>
              </w:rPr>
              <w:t xml:space="preserve">, se dispone de información </w:t>
            </w:r>
            <w:r w:rsidR="008532CC">
              <w:rPr>
                <w:rFonts w:eastAsia="Calibri" w:cs="Times New Roman"/>
                <w:iCs/>
                <w:sz w:val="20"/>
                <w:szCs w:val="20"/>
              </w:rPr>
              <w:t>de calidad.</w:t>
            </w:r>
          </w:p>
          <w:p w:rsidR="003949DD" w:rsidRDefault="008532CC" w:rsidP="003949DD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 xml:space="preserve">Este inventario de fauna será uno de los elementos cruciales del proceso de planificación de la </w:t>
            </w:r>
            <w:proofErr w:type="spellStart"/>
            <w:r>
              <w:rPr>
                <w:rFonts w:eastAsia="Calibri" w:cs="Times New Roman"/>
                <w:iCs/>
                <w:sz w:val="20"/>
                <w:szCs w:val="20"/>
              </w:rPr>
              <w:t>renaturalización</w:t>
            </w:r>
            <w:proofErr w:type="spellEnd"/>
            <w:r>
              <w:rPr>
                <w:rFonts w:eastAsia="Calibri" w:cs="Times New Roman"/>
                <w:iCs/>
                <w:sz w:val="20"/>
                <w:szCs w:val="20"/>
              </w:rPr>
              <w:t>. El municipio alberga una enorme variedad de fauna</w:t>
            </w:r>
            <w:r w:rsidR="00FB11CA">
              <w:rPr>
                <w:rFonts w:eastAsia="Calibri" w:cs="Times New Roman"/>
                <w:iCs/>
                <w:sz w:val="20"/>
                <w:szCs w:val="20"/>
              </w:rPr>
              <w:t>, c</w:t>
            </w:r>
            <w:r w:rsidR="00EF2A81">
              <w:rPr>
                <w:rFonts w:eastAsia="Calibri" w:cs="Times New Roman"/>
                <w:iCs/>
                <w:sz w:val="20"/>
                <w:szCs w:val="20"/>
              </w:rPr>
              <w:t xml:space="preserve">ontando en su término con el 53% de los anfibios de España, el </w:t>
            </w:r>
            <w:r w:rsidR="00B0522B">
              <w:rPr>
                <w:rFonts w:eastAsia="Calibri" w:cs="Times New Roman"/>
                <w:iCs/>
                <w:sz w:val="20"/>
                <w:szCs w:val="20"/>
              </w:rPr>
              <w:t>48% de las aves, 39% de los mamíferos, 37% de los reptiles</w:t>
            </w:r>
            <w:r w:rsidR="004E3AC8">
              <w:rPr>
                <w:rFonts w:eastAsia="Calibri" w:cs="Times New Roman"/>
                <w:iCs/>
                <w:sz w:val="20"/>
                <w:szCs w:val="20"/>
              </w:rPr>
              <w:t xml:space="preserve"> y 20% de los peces continentales, con especies emblemáticas</w:t>
            </w:r>
            <w:r w:rsidR="003E18AF">
              <w:rPr>
                <w:rFonts w:eastAsia="Calibri" w:cs="Times New Roman"/>
                <w:iCs/>
                <w:sz w:val="20"/>
                <w:szCs w:val="20"/>
              </w:rPr>
              <w:t xml:space="preserve"> y protegidas</w:t>
            </w:r>
            <w:r w:rsidR="004E3AC8">
              <w:rPr>
                <w:rFonts w:eastAsia="Calibri" w:cs="Times New Roman"/>
                <w:iCs/>
                <w:sz w:val="20"/>
                <w:szCs w:val="20"/>
              </w:rPr>
              <w:t xml:space="preserve"> como el lince </w:t>
            </w:r>
            <w:r w:rsidR="003E18AF">
              <w:rPr>
                <w:rFonts w:eastAsia="Calibri" w:cs="Times New Roman"/>
                <w:iCs/>
                <w:sz w:val="20"/>
                <w:szCs w:val="20"/>
              </w:rPr>
              <w:t>ibérico</w:t>
            </w:r>
            <w:r w:rsidR="004E3AC8">
              <w:rPr>
                <w:rFonts w:eastAsia="Calibri" w:cs="Times New Roman"/>
                <w:iCs/>
                <w:sz w:val="20"/>
                <w:szCs w:val="20"/>
              </w:rPr>
              <w:t xml:space="preserve">, el </w:t>
            </w:r>
            <w:r w:rsidR="00B35BE1">
              <w:rPr>
                <w:rFonts w:eastAsia="Calibri" w:cs="Times New Roman"/>
                <w:iCs/>
                <w:sz w:val="20"/>
                <w:szCs w:val="20"/>
              </w:rPr>
              <w:t xml:space="preserve">lobo, </w:t>
            </w:r>
            <w:r w:rsidR="003E18AF">
              <w:rPr>
                <w:rFonts w:eastAsia="Calibri" w:cs="Times New Roman"/>
                <w:iCs/>
                <w:sz w:val="20"/>
                <w:szCs w:val="20"/>
              </w:rPr>
              <w:t xml:space="preserve">el </w:t>
            </w:r>
            <w:r w:rsidR="004E3AC8">
              <w:rPr>
                <w:rFonts w:eastAsia="Calibri" w:cs="Times New Roman"/>
                <w:iCs/>
                <w:sz w:val="20"/>
                <w:szCs w:val="20"/>
              </w:rPr>
              <w:t>águila imperial</w:t>
            </w:r>
            <w:r w:rsidR="003E18AF">
              <w:rPr>
                <w:rFonts w:eastAsia="Calibri" w:cs="Times New Roman"/>
                <w:iCs/>
                <w:sz w:val="20"/>
                <w:szCs w:val="20"/>
              </w:rPr>
              <w:t xml:space="preserve">, águila </w:t>
            </w:r>
            <w:r w:rsidR="00B35BE1">
              <w:rPr>
                <w:rFonts w:eastAsia="Calibri" w:cs="Times New Roman"/>
                <w:iCs/>
                <w:sz w:val="20"/>
                <w:szCs w:val="20"/>
              </w:rPr>
              <w:t>real</w:t>
            </w:r>
            <w:r w:rsidR="004E3AC8">
              <w:rPr>
                <w:rFonts w:eastAsia="Calibri" w:cs="Times New Roman"/>
                <w:iCs/>
                <w:sz w:val="20"/>
                <w:szCs w:val="20"/>
              </w:rPr>
              <w:t>, buitre ne</w:t>
            </w:r>
            <w:r w:rsidR="00B35BE1">
              <w:rPr>
                <w:rFonts w:eastAsia="Calibri" w:cs="Times New Roman"/>
                <w:iCs/>
                <w:sz w:val="20"/>
                <w:szCs w:val="20"/>
              </w:rPr>
              <w:t>g</w:t>
            </w:r>
            <w:r w:rsidR="004E3AC8">
              <w:rPr>
                <w:rFonts w:eastAsia="Calibri" w:cs="Times New Roman"/>
                <w:iCs/>
                <w:sz w:val="20"/>
                <w:szCs w:val="20"/>
              </w:rPr>
              <w:t>ro</w:t>
            </w:r>
            <w:r w:rsidR="009F2021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3E18AF">
              <w:rPr>
                <w:rFonts w:eastAsia="Calibri" w:cs="Times New Roman"/>
                <w:iCs/>
                <w:sz w:val="20"/>
                <w:szCs w:val="20"/>
              </w:rPr>
              <w:t xml:space="preserve">y el gallipato. En este inventario se hará especial 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 xml:space="preserve">hincapié en la identificación de especies exóticas invasoras (EEI) y </w:t>
            </w:r>
            <w:r w:rsidR="003E18AF">
              <w:rPr>
                <w:rFonts w:eastAsia="Calibri" w:cs="Times New Roman"/>
                <w:iCs/>
                <w:sz w:val="20"/>
                <w:szCs w:val="20"/>
              </w:rPr>
              <w:t xml:space="preserve">en 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>su localización.</w:t>
            </w:r>
          </w:p>
          <w:p w:rsidR="00AD5CFE" w:rsidRDefault="00AD5CFE" w:rsidP="003949DD">
            <w:pPr>
              <w:spacing w:after="0" w:line="240" w:lineRule="auto"/>
              <w:rPr>
                <w:rFonts w:eastAsia="Calibri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Act</w:t>
            </w:r>
            <w:proofErr w:type="spellEnd"/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7) Diagnóstico ecológico de la IV de Andújar</w:t>
            </w:r>
            <w:r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: </w:t>
            </w:r>
            <w:r w:rsidR="00725160">
              <w:rPr>
                <w:rFonts w:eastAsia="Calibri" w:cs="Times New Roman"/>
                <w:bCs/>
                <w:iCs/>
                <w:sz w:val="20"/>
                <w:szCs w:val="20"/>
              </w:rPr>
              <w:t>L</w:t>
            </w:r>
            <w:r w:rsidR="002A6BEF">
              <w:rPr>
                <w:rFonts w:eastAsia="Calibri" w:cs="Times New Roman"/>
                <w:bCs/>
                <w:iCs/>
                <w:sz w:val="20"/>
                <w:szCs w:val="20"/>
              </w:rPr>
              <w:t>os datos e información de l</w:t>
            </w:r>
            <w:r w:rsidR="00725160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as </w:t>
            </w:r>
            <w:proofErr w:type="spellStart"/>
            <w:r w:rsidR="00725160">
              <w:rPr>
                <w:rFonts w:eastAsia="Calibri" w:cs="Times New Roman"/>
                <w:bCs/>
                <w:iCs/>
                <w:sz w:val="20"/>
                <w:szCs w:val="20"/>
              </w:rPr>
              <w:t>Act</w:t>
            </w:r>
            <w:proofErr w:type="spellEnd"/>
            <w:r w:rsidR="00725160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 4)-</w:t>
            </w:r>
            <w:proofErr w:type="spellStart"/>
            <w:r w:rsidR="00725160">
              <w:rPr>
                <w:rFonts w:eastAsia="Calibri" w:cs="Times New Roman"/>
                <w:bCs/>
                <w:iCs/>
                <w:sz w:val="20"/>
                <w:szCs w:val="20"/>
              </w:rPr>
              <w:t>Act</w:t>
            </w:r>
            <w:proofErr w:type="spellEnd"/>
            <w:r w:rsidR="00725160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 7) se aglutinarán para elaborar un diagnóstico </w:t>
            </w:r>
            <w:r w:rsidR="0045118A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final de la IV y </w:t>
            </w:r>
            <w:r w:rsidR="002A6BEF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de la </w:t>
            </w:r>
            <w:r w:rsidR="0045118A">
              <w:rPr>
                <w:rFonts w:eastAsia="Calibri" w:cs="Times New Roman"/>
                <w:bCs/>
                <w:iCs/>
                <w:sz w:val="20"/>
                <w:szCs w:val="20"/>
              </w:rPr>
              <w:t>biodiversidad. Este incluirá una matriz DAFO</w:t>
            </w:r>
            <w:r w:rsidR="00A931B2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 y una síntesis de conclusiones, estructurada en: </w:t>
            </w:r>
            <w:r w:rsidR="002A6BEF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a) </w:t>
            </w:r>
            <w:r w:rsidR="00A931B2">
              <w:rPr>
                <w:rFonts w:eastAsia="Calibri" w:cs="Times New Roman"/>
                <w:bCs/>
                <w:iCs/>
                <w:sz w:val="20"/>
                <w:szCs w:val="20"/>
              </w:rPr>
              <w:t>Marco normativo y estratégico</w:t>
            </w:r>
            <w:r w:rsidR="002A6BEF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 local</w:t>
            </w:r>
            <w:r w:rsidR="00A931B2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, </w:t>
            </w:r>
            <w:r w:rsidR="002A6BEF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b) </w:t>
            </w:r>
            <w:r w:rsidR="00A931B2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Infraestructura verde </w:t>
            </w:r>
            <w:r w:rsidR="00916531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rural-natural </w:t>
            </w:r>
            <w:r w:rsidR="00A931B2">
              <w:rPr>
                <w:rFonts w:eastAsia="Calibri" w:cs="Times New Roman"/>
                <w:bCs/>
                <w:iCs/>
                <w:sz w:val="20"/>
                <w:szCs w:val="20"/>
              </w:rPr>
              <w:t>(elementos</w:t>
            </w:r>
            <w:r w:rsidR="00916531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 y </w:t>
            </w:r>
            <w:r w:rsidR="00A931B2">
              <w:rPr>
                <w:rFonts w:eastAsia="Calibri" w:cs="Times New Roman"/>
                <w:bCs/>
                <w:iCs/>
                <w:sz w:val="20"/>
                <w:szCs w:val="20"/>
              </w:rPr>
              <w:t>matriz</w:t>
            </w:r>
            <w:r w:rsidR="00916531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 territorial), </w:t>
            </w:r>
            <w:r w:rsidR="002A6BEF">
              <w:rPr>
                <w:rFonts w:eastAsia="Calibri" w:cs="Times New Roman"/>
                <w:bCs/>
                <w:iCs/>
                <w:sz w:val="20"/>
                <w:szCs w:val="20"/>
              </w:rPr>
              <w:t>c) Red hidrológica</w:t>
            </w:r>
            <w:r w:rsidR="0025056F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, d) </w:t>
            </w:r>
            <w:r w:rsidR="00916531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Zonas verdes urbanas, </w:t>
            </w:r>
            <w:r w:rsidR="0025056F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e) </w:t>
            </w:r>
            <w:r w:rsidR="00916531">
              <w:rPr>
                <w:rFonts w:eastAsia="Calibri" w:cs="Times New Roman"/>
                <w:bCs/>
                <w:iCs/>
                <w:sz w:val="20"/>
                <w:szCs w:val="20"/>
              </w:rPr>
              <w:t>Biodiversidad</w:t>
            </w:r>
            <w:r w:rsidR="00BF5AA1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, </w:t>
            </w:r>
            <w:r w:rsidR="0025056F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f) </w:t>
            </w:r>
            <w:r w:rsidR="00916531">
              <w:rPr>
                <w:rFonts w:eastAsia="Calibri" w:cs="Times New Roman"/>
                <w:bCs/>
                <w:iCs/>
                <w:sz w:val="20"/>
                <w:szCs w:val="20"/>
              </w:rPr>
              <w:t>Conectividad ecológica</w:t>
            </w:r>
            <w:r w:rsidR="00BF5AA1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, e) </w:t>
            </w:r>
            <w:r w:rsidR="008D28A5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IV y género y f) </w:t>
            </w:r>
            <w:r w:rsidR="00BF5AA1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barrios vulnerables </w:t>
            </w:r>
            <w:r w:rsidR="00D140E7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y relación </w:t>
            </w:r>
            <w:r w:rsidR="00532501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con el </w:t>
            </w:r>
            <w:r w:rsidR="00D140E7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acceso y calidad de </w:t>
            </w:r>
            <w:r w:rsidR="00532501">
              <w:rPr>
                <w:rFonts w:eastAsia="Calibri" w:cs="Times New Roman"/>
                <w:bCs/>
                <w:iCs/>
                <w:sz w:val="20"/>
                <w:szCs w:val="20"/>
              </w:rPr>
              <w:t>zonas verdes</w:t>
            </w:r>
            <w:r w:rsidR="0025056F">
              <w:rPr>
                <w:rFonts w:eastAsia="Calibri" w:cs="Times New Roman"/>
                <w:bCs/>
                <w:iCs/>
                <w:sz w:val="20"/>
                <w:szCs w:val="20"/>
              </w:rPr>
              <w:t>.</w:t>
            </w:r>
            <w:r w:rsidR="00422042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 </w:t>
            </w:r>
            <w:r w:rsidR="008B480B">
              <w:rPr>
                <w:rFonts w:eastAsia="Calibri" w:cs="Times New Roman"/>
                <w:bCs/>
                <w:iCs/>
                <w:sz w:val="20"/>
                <w:szCs w:val="20"/>
              </w:rPr>
              <w:t>S</w:t>
            </w:r>
            <w:r w:rsidR="00422042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e convocará </w:t>
            </w:r>
            <w:r w:rsidR="008B480B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en esta fase </w:t>
            </w:r>
            <w:r w:rsidR="00422042">
              <w:rPr>
                <w:rFonts w:eastAsia="Calibri" w:cs="Times New Roman"/>
                <w:bCs/>
                <w:iCs/>
                <w:sz w:val="20"/>
                <w:szCs w:val="20"/>
              </w:rPr>
              <w:t>el Consejo, la Comisión y se analizarán los inputs del Foro.</w:t>
            </w:r>
          </w:p>
          <w:p w:rsidR="0066421E" w:rsidRPr="00AD5CFE" w:rsidRDefault="0066421E" w:rsidP="003949DD">
            <w:pPr>
              <w:spacing w:after="0" w:line="240" w:lineRule="auto"/>
              <w:rPr>
                <w:rFonts w:eastAsia="Calibri" w:cs="Times New Roman"/>
                <w:bCs/>
                <w:iCs/>
                <w:sz w:val="20"/>
                <w:szCs w:val="20"/>
              </w:rPr>
            </w:pPr>
            <w:proofErr w:type="spellStart"/>
            <w:r w:rsidRPr="003C7C68">
              <w:rPr>
                <w:rFonts w:eastAsia="Calibri" w:cs="Times New Roman"/>
                <w:b/>
                <w:iCs/>
                <w:sz w:val="20"/>
                <w:szCs w:val="20"/>
              </w:rPr>
              <w:t>Act</w:t>
            </w:r>
            <w:proofErr w:type="spellEnd"/>
            <w:r w:rsidRPr="003C7C68">
              <w:rPr>
                <w:rFonts w:eastAsia="Calibri" w:cs="Times New Roman"/>
                <w:b/>
                <w:iCs/>
                <w:sz w:val="20"/>
                <w:szCs w:val="20"/>
              </w:rPr>
              <w:t xml:space="preserve"> 8) Evaluación de los servicios </w:t>
            </w:r>
            <w:proofErr w:type="spellStart"/>
            <w:r w:rsidRPr="003C7C68">
              <w:rPr>
                <w:rFonts w:eastAsia="Calibri" w:cs="Times New Roman"/>
                <w:b/>
                <w:iCs/>
                <w:sz w:val="20"/>
                <w:szCs w:val="20"/>
              </w:rPr>
              <w:t>ecosistémicos</w:t>
            </w:r>
            <w:proofErr w:type="spellEnd"/>
            <w:r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: </w:t>
            </w:r>
            <w:r w:rsidR="00B2004D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Todos los datos </w:t>
            </w:r>
            <w:r w:rsidR="00476E7F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recabados en la </w:t>
            </w:r>
            <w:proofErr w:type="spellStart"/>
            <w:r w:rsidR="00476E7F">
              <w:rPr>
                <w:rFonts w:eastAsia="Calibri" w:cs="Times New Roman"/>
                <w:bCs/>
                <w:iCs/>
                <w:sz w:val="20"/>
                <w:szCs w:val="20"/>
              </w:rPr>
              <w:t>Act</w:t>
            </w:r>
            <w:proofErr w:type="spellEnd"/>
            <w:r w:rsidR="00476E7F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 4) y 5) serán</w:t>
            </w:r>
            <w:r w:rsidR="003C7C68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 consolidados para efectuar una caracterización</w:t>
            </w:r>
            <w:r w:rsidR="00CA0FC2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 de</w:t>
            </w:r>
            <w:r w:rsidR="00E54939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 los</w:t>
            </w:r>
            <w:r w:rsidR="00CA0FC2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 servicios </w:t>
            </w:r>
            <w:proofErr w:type="spellStart"/>
            <w:r w:rsidR="00CA0FC2">
              <w:rPr>
                <w:rFonts w:eastAsia="Calibri" w:cs="Times New Roman"/>
                <w:bCs/>
                <w:iCs/>
                <w:sz w:val="20"/>
                <w:szCs w:val="20"/>
              </w:rPr>
              <w:t>ecosistémicos</w:t>
            </w:r>
            <w:proofErr w:type="spellEnd"/>
            <w:r w:rsidR="00CA0FC2">
              <w:rPr>
                <w:rFonts w:eastAsia="Calibri" w:cs="Times New Roman"/>
                <w:bCs/>
                <w:iCs/>
                <w:sz w:val="20"/>
                <w:szCs w:val="20"/>
              </w:rPr>
              <w:t xml:space="preserve"> de la IV de Andújar</w:t>
            </w:r>
            <w:r w:rsidR="00E54939">
              <w:rPr>
                <w:rFonts w:eastAsia="Calibri" w:cs="Times New Roman"/>
                <w:bCs/>
                <w:iCs/>
                <w:sz w:val="20"/>
                <w:szCs w:val="20"/>
              </w:rPr>
              <w:t>, tanto en términos cuantitativos como cualitativos</w:t>
            </w:r>
            <w:r w:rsidR="008A0D86">
              <w:rPr>
                <w:rFonts w:eastAsia="Calibri" w:cs="Times New Roman"/>
                <w:bCs/>
                <w:iCs/>
                <w:sz w:val="20"/>
                <w:szCs w:val="20"/>
              </w:rPr>
              <w:t>.</w:t>
            </w:r>
          </w:p>
          <w:p w:rsidR="003949DD" w:rsidRPr="003949DD" w:rsidRDefault="003E18AF" w:rsidP="003949DD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Act</w:t>
            </w:r>
            <w:proofErr w:type="spellEnd"/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DE3744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9</w:t>
            </w:r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) </w:t>
            </w:r>
            <w:r w:rsidR="003949DD" w:rsidRPr="003949DD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Análisis de problemáticas, riesgos y vulnerabilidades de </w:t>
            </w:r>
            <w:r w:rsidR="0025056F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Andújar:</w:t>
            </w:r>
            <w:r w:rsidR="00BF5AA1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CA29A3">
              <w:rPr>
                <w:rFonts w:eastAsia="Calibri" w:cs="Times New Roman"/>
                <w:iCs/>
                <w:sz w:val="20"/>
                <w:szCs w:val="20"/>
              </w:rPr>
              <w:t>Paralelamente</w:t>
            </w:r>
            <w:r w:rsidR="00163919">
              <w:rPr>
                <w:rFonts w:eastAsia="Calibri" w:cs="Times New Roman"/>
                <w:iCs/>
                <w:sz w:val="20"/>
                <w:szCs w:val="20"/>
              </w:rPr>
              <w:t xml:space="preserve"> a</w:t>
            </w:r>
            <w:r w:rsidR="0008615F">
              <w:rPr>
                <w:rFonts w:eastAsia="Calibri" w:cs="Times New Roman"/>
                <w:iCs/>
                <w:sz w:val="20"/>
                <w:szCs w:val="20"/>
              </w:rPr>
              <w:t xml:space="preserve"> las </w:t>
            </w:r>
            <w:proofErr w:type="spellStart"/>
            <w:r w:rsidR="00D41981">
              <w:rPr>
                <w:rFonts w:eastAsia="Calibri" w:cs="Times New Roman"/>
                <w:iCs/>
                <w:sz w:val="20"/>
                <w:szCs w:val="20"/>
              </w:rPr>
              <w:t>Act</w:t>
            </w:r>
            <w:proofErr w:type="spellEnd"/>
            <w:r w:rsidR="00D41981">
              <w:rPr>
                <w:rFonts w:eastAsia="Calibri" w:cs="Times New Roman"/>
                <w:iCs/>
                <w:sz w:val="20"/>
                <w:szCs w:val="20"/>
              </w:rPr>
              <w:t xml:space="preserve"> 7) y 8)</w:t>
            </w:r>
            <w:r w:rsidR="007533B2">
              <w:rPr>
                <w:rFonts w:eastAsia="Calibri" w:cs="Times New Roman"/>
                <w:iCs/>
                <w:sz w:val="20"/>
                <w:szCs w:val="20"/>
              </w:rPr>
              <w:t>,</w:t>
            </w:r>
            <w:r w:rsidR="00857990">
              <w:rPr>
                <w:rFonts w:eastAsia="Calibri" w:cs="Times New Roman"/>
                <w:iCs/>
                <w:sz w:val="20"/>
                <w:szCs w:val="20"/>
              </w:rPr>
              <w:t xml:space="preserve"> se efectuará </w:t>
            </w:r>
            <w:r w:rsidR="001D3D77">
              <w:rPr>
                <w:rFonts w:eastAsia="Calibri" w:cs="Times New Roman"/>
                <w:iCs/>
                <w:sz w:val="20"/>
                <w:szCs w:val="20"/>
              </w:rPr>
              <w:t>un análisis del impacto del cambio climático sobre Andújar. E</w:t>
            </w:r>
            <w:r w:rsidR="00D41981">
              <w:rPr>
                <w:rFonts w:eastAsia="Calibri" w:cs="Times New Roman"/>
                <w:iCs/>
                <w:sz w:val="20"/>
                <w:szCs w:val="20"/>
              </w:rPr>
              <w:t>n base</w:t>
            </w:r>
            <w:r w:rsidR="00163919">
              <w:rPr>
                <w:rFonts w:eastAsia="Calibri" w:cs="Times New Roman"/>
                <w:iCs/>
                <w:sz w:val="20"/>
                <w:szCs w:val="20"/>
              </w:rPr>
              <w:t xml:space="preserve"> a proyecciones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 xml:space="preserve"> de los futuros escenarios </w:t>
            </w:r>
            <w:r w:rsidR="0008615F">
              <w:rPr>
                <w:rFonts w:eastAsia="Calibri" w:cs="Times New Roman"/>
                <w:iCs/>
                <w:sz w:val="20"/>
                <w:szCs w:val="20"/>
              </w:rPr>
              <w:t>(</w:t>
            </w:r>
            <w:r w:rsidR="00D41981">
              <w:rPr>
                <w:rFonts w:eastAsia="Calibri" w:cs="Times New Roman"/>
                <w:iCs/>
                <w:sz w:val="20"/>
                <w:szCs w:val="20"/>
              </w:rPr>
              <w:t>RCP 4.5 y 8.5)</w:t>
            </w:r>
            <w:r w:rsidR="0008615F">
              <w:rPr>
                <w:rFonts w:eastAsia="Calibri" w:cs="Times New Roman"/>
                <w:iCs/>
                <w:sz w:val="20"/>
                <w:szCs w:val="20"/>
              </w:rPr>
              <w:t xml:space="preserve"> (</w:t>
            </w:r>
            <w:proofErr w:type="spellStart"/>
            <w:r w:rsidR="0008615F">
              <w:rPr>
                <w:rFonts w:eastAsia="Calibri" w:cs="Times New Roman"/>
                <w:iCs/>
                <w:sz w:val="20"/>
                <w:szCs w:val="20"/>
              </w:rPr>
              <w:t>AdapteCCa</w:t>
            </w:r>
            <w:proofErr w:type="spellEnd"/>
            <w:r w:rsidR="0008615F">
              <w:rPr>
                <w:rFonts w:eastAsia="Calibri" w:cs="Times New Roman"/>
                <w:iCs/>
                <w:sz w:val="20"/>
                <w:szCs w:val="20"/>
              </w:rPr>
              <w:t>)</w:t>
            </w:r>
            <w:r w:rsidR="001D3D77">
              <w:rPr>
                <w:rFonts w:eastAsia="Calibri" w:cs="Times New Roman"/>
                <w:iCs/>
                <w:sz w:val="20"/>
                <w:szCs w:val="20"/>
              </w:rPr>
              <w:t xml:space="preserve">, se identificarán </w:t>
            </w:r>
            <w:r w:rsidR="004F431A">
              <w:rPr>
                <w:rFonts w:eastAsia="Calibri" w:cs="Times New Roman"/>
                <w:iCs/>
                <w:sz w:val="20"/>
                <w:szCs w:val="20"/>
              </w:rPr>
              <w:t xml:space="preserve">los principales riesgos </w:t>
            </w:r>
            <w:r w:rsidR="00EB396A">
              <w:rPr>
                <w:rFonts w:eastAsia="Calibri" w:cs="Times New Roman"/>
                <w:iCs/>
                <w:sz w:val="20"/>
                <w:szCs w:val="20"/>
              </w:rPr>
              <w:t>para la ciudad (precipitaciones, temperaturas, olas de calor, etc.</w:t>
            </w:r>
            <w:r w:rsidR="00F615B4">
              <w:rPr>
                <w:rFonts w:eastAsia="Calibri" w:cs="Times New Roman"/>
                <w:iCs/>
                <w:sz w:val="20"/>
                <w:szCs w:val="20"/>
              </w:rPr>
              <w:t>)</w:t>
            </w:r>
            <w:r w:rsidR="00EB396A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4F431A">
              <w:rPr>
                <w:rFonts w:eastAsia="Calibri" w:cs="Times New Roman"/>
                <w:iCs/>
                <w:sz w:val="20"/>
                <w:szCs w:val="20"/>
              </w:rPr>
              <w:t xml:space="preserve">y </w:t>
            </w:r>
            <w:r w:rsidR="00F615B4">
              <w:rPr>
                <w:rFonts w:eastAsia="Calibri" w:cs="Times New Roman"/>
                <w:iCs/>
                <w:sz w:val="20"/>
                <w:szCs w:val="20"/>
              </w:rPr>
              <w:t>las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 xml:space="preserve"> áreas más vulnerables.</w:t>
            </w:r>
            <w:r w:rsidR="008A0D86">
              <w:rPr>
                <w:rFonts w:eastAsia="Calibri" w:cs="Times New Roman"/>
                <w:iCs/>
                <w:sz w:val="20"/>
                <w:szCs w:val="20"/>
              </w:rPr>
              <w:t xml:space="preserve"> En esta fase se convocará </w:t>
            </w:r>
            <w:r w:rsidR="0074568C">
              <w:rPr>
                <w:rFonts w:eastAsia="Calibri" w:cs="Times New Roman"/>
                <w:iCs/>
                <w:sz w:val="20"/>
                <w:szCs w:val="20"/>
              </w:rPr>
              <w:t>a la Comisión, integrando la opinión y realidad de otras áreas.</w:t>
            </w:r>
          </w:p>
          <w:p w:rsidR="003949DD" w:rsidRPr="003949DD" w:rsidRDefault="00F615B4" w:rsidP="003949DD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Act</w:t>
            </w:r>
            <w:proofErr w:type="spellEnd"/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10)</w:t>
            </w:r>
            <w:r w:rsidR="001A65C5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3949DD" w:rsidRPr="003949DD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Propuesta</w:t>
            </w:r>
            <w:r w:rsidR="00BB4E3A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3949DD" w:rsidRPr="003949DD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de </w:t>
            </w:r>
            <w:r w:rsidR="000C07CE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actuaciones de </w:t>
            </w:r>
            <w:r w:rsidR="003949DD" w:rsidRPr="003949DD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mejora de </w:t>
            </w:r>
            <w:r w:rsidR="000C07CE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la </w:t>
            </w:r>
            <w:r w:rsidR="00BB4E3A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I</w:t>
            </w:r>
            <w:r w:rsidR="003949DD" w:rsidRPr="003949DD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V</w:t>
            </w:r>
            <w:r w:rsidR="00BB4E3A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de Andújar</w:t>
            </w:r>
            <w:r w:rsidR="003949DD" w:rsidRPr="003949DD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.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 xml:space="preserve"> En base a las áreas vulnerables</w:t>
            </w:r>
            <w:r w:rsidR="00A42A90">
              <w:rPr>
                <w:rFonts w:eastAsia="Calibri" w:cs="Times New Roman"/>
                <w:iCs/>
                <w:sz w:val="20"/>
                <w:szCs w:val="20"/>
              </w:rPr>
              <w:t>, riesgos detectados</w:t>
            </w:r>
            <w:r w:rsidR="00BB4E3A">
              <w:rPr>
                <w:rFonts w:eastAsia="Calibri" w:cs="Times New Roman"/>
                <w:iCs/>
                <w:sz w:val="20"/>
                <w:szCs w:val="20"/>
              </w:rPr>
              <w:t>, oportunidades y problemas</w:t>
            </w:r>
            <w:r w:rsidR="00A42A90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F5499B">
              <w:rPr>
                <w:rFonts w:eastAsia="Calibri" w:cs="Times New Roman"/>
                <w:iCs/>
                <w:sz w:val="20"/>
                <w:szCs w:val="20"/>
              </w:rPr>
              <w:t>hallad</w:t>
            </w:r>
            <w:r w:rsidR="00BB4E3A">
              <w:rPr>
                <w:rFonts w:eastAsia="Calibri" w:cs="Times New Roman"/>
                <w:iCs/>
                <w:sz w:val="20"/>
                <w:szCs w:val="20"/>
              </w:rPr>
              <w:t>o</w:t>
            </w:r>
            <w:r w:rsidR="00F5499B">
              <w:rPr>
                <w:rFonts w:eastAsia="Calibri" w:cs="Times New Roman"/>
                <w:iCs/>
                <w:sz w:val="20"/>
                <w:szCs w:val="20"/>
              </w:rPr>
              <w:t>s</w:t>
            </w:r>
            <w:r w:rsidR="00CA7E41">
              <w:rPr>
                <w:rFonts w:eastAsia="Calibri" w:cs="Times New Roman"/>
                <w:iCs/>
                <w:sz w:val="20"/>
                <w:szCs w:val="20"/>
              </w:rPr>
              <w:t xml:space="preserve">, 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>se propondrá</w:t>
            </w:r>
            <w:r w:rsidR="00CA7E41">
              <w:rPr>
                <w:rFonts w:eastAsia="Calibri" w:cs="Times New Roman"/>
                <w:iCs/>
                <w:sz w:val="20"/>
                <w:szCs w:val="20"/>
              </w:rPr>
              <w:t xml:space="preserve"> una batería de actuaciones </w:t>
            </w:r>
            <w:r w:rsidR="009029BA">
              <w:rPr>
                <w:rFonts w:eastAsia="Calibri" w:cs="Times New Roman"/>
                <w:iCs/>
                <w:sz w:val="20"/>
                <w:szCs w:val="20"/>
              </w:rPr>
              <w:t>de impulso a</w:t>
            </w:r>
            <w:r w:rsidR="00CA7E41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A42A90">
              <w:rPr>
                <w:rFonts w:eastAsia="Calibri" w:cs="Times New Roman"/>
                <w:iCs/>
                <w:sz w:val="20"/>
                <w:szCs w:val="20"/>
              </w:rPr>
              <w:t>la</w:t>
            </w:r>
            <w:r w:rsidR="00CA7E41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CA7E41">
              <w:rPr>
                <w:rFonts w:eastAsia="Calibri" w:cs="Times New Roman"/>
                <w:iCs/>
                <w:sz w:val="20"/>
                <w:szCs w:val="20"/>
              </w:rPr>
              <w:t>renaturalización</w:t>
            </w:r>
            <w:proofErr w:type="spellEnd"/>
            <w:r w:rsidR="00CA7E41">
              <w:rPr>
                <w:rFonts w:eastAsia="Calibri" w:cs="Times New Roman"/>
                <w:iCs/>
                <w:sz w:val="20"/>
                <w:szCs w:val="20"/>
              </w:rPr>
              <w:t xml:space="preserve"> de Andújar</w:t>
            </w:r>
            <w:r w:rsidR="00A42A90">
              <w:rPr>
                <w:rFonts w:eastAsia="Calibri" w:cs="Times New Roman"/>
                <w:iCs/>
                <w:sz w:val="20"/>
                <w:szCs w:val="20"/>
              </w:rPr>
              <w:t xml:space="preserve">, consolidando y conectando </w:t>
            </w:r>
            <w:r w:rsidR="00DE7A5F">
              <w:rPr>
                <w:rFonts w:eastAsia="Calibri" w:cs="Times New Roman"/>
                <w:iCs/>
                <w:sz w:val="20"/>
                <w:szCs w:val="20"/>
              </w:rPr>
              <w:t>su IV</w:t>
            </w:r>
            <w:r w:rsidR="00B03CDE">
              <w:rPr>
                <w:rFonts w:eastAsia="Calibri" w:cs="Times New Roman"/>
                <w:iCs/>
                <w:sz w:val="20"/>
                <w:szCs w:val="20"/>
              </w:rPr>
              <w:t xml:space="preserve"> de cara al bienestar de la población y </w:t>
            </w:r>
            <w:r w:rsidR="009029BA">
              <w:rPr>
                <w:rFonts w:eastAsia="Calibri" w:cs="Times New Roman"/>
                <w:iCs/>
                <w:sz w:val="20"/>
                <w:szCs w:val="20"/>
              </w:rPr>
              <w:t>a la</w:t>
            </w:r>
            <w:r w:rsidR="00B03CDE">
              <w:rPr>
                <w:rFonts w:eastAsia="Calibri" w:cs="Times New Roman"/>
                <w:iCs/>
                <w:sz w:val="20"/>
                <w:szCs w:val="20"/>
              </w:rPr>
              <w:t xml:space="preserve"> adaptación </w:t>
            </w:r>
            <w:r w:rsidR="009029BA">
              <w:rPr>
                <w:rFonts w:eastAsia="Calibri" w:cs="Times New Roman"/>
                <w:iCs/>
                <w:sz w:val="20"/>
                <w:szCs w:val="20"/>
              </w:rPr>
              <w:t xml:space="preserve">de la ciudad </w:t>
            </w:r>
            <w:r w:rsidR="00B03CDE">
              <w:rPr>
                <w:rFonts w:eastAsia="Calibri" w:cs="Times New Roman"/>
                <w:iCs/>
                <w:sz w:val="20"/>
                <w:szCs w:val="20"/>
              </w:rPr>
              <w:t>al cambio climático.</w:t>
            </w:r>
            <w:r w:rsidR="000222F4">
              <w:rPr>
                <w:rFonts w:eastAsia="Calibri" w:cs="Times New Roman"/>
                <w:iCs/>
                <w:sz w:val="20"/>
                <w:szCs w:val="20"/>
              </w:rPr>
              <w:t xml:space="preserve"> Estas actuaciones estarán calendarizadas (corto/medio/largo plazo) y </w:t>
            </w:r>
            <w:r w:rsidR="00F3650A">
              <w:rPr>
                <w:rFonts w:eastAsia="Calibri" w:cs="Times New Roman"/>
                <w:iCs/>
                <w:sz w:val="20"/>
                <w:szCs w:val="20"/>
              </w:rPr>
              <w:t>recogerán de manera explícita las Acciones tipo B</w:t>
            </w:r>
            <w:r w:rsidR="00A21311">
              <w:rPr>
                <w:rFonts w:eastAsia="Calibri" w:cs="Times New Roman"/>
                <w:iCs/>
                <w:sz w:val="20"/>
                <w:szCs w:val="20"/>
              </w:rPr>
              <w:t xml:space="preserve"> propuestas.</w:t>
            </w:r>
            <w:r w:rsidR="00D01197">
              <w:rPr>
                <w:rFonts w:eastAsia="Calibri" w:cs="Times New Roman"/>
                <w:iCs/>
                <w:sz w:val="20"/>
                <w:szCs w:val="20"/>
              </w:rPr>
              <w:t xml:space="preserve"> La propuesta, revisión y validación de las actuaciones</w:t>
            </w:r>
            <w:r w:rsidR="0080679E">
              <w:rPr>
                <w:rFonts w:eastAsia="Calibri" w:cs="Times New Roman"/>
                <w:iCs/>
                <w:sz w:val="20"/>
                <w:szCs w:val="20"/>
              </w:rPr>
              <w:t xml:space="preserve"> será apoyada por la Comisión, Consejo y el Foro.</w:t>
            </w:r>
          </w:p>
          <w:p w:rsidR="003949DD" w:rsidRPr="003949DD" w:rsidRDefault="009029BA" w:rsidP="003949DD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Act</w:t>
            </w:r>
            <w:proofErr w:type="spellEnd"/>
            <w:r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 11) </w:t>
            </w:r>
            <w:r w:rsidR="003949DD" w:rsidRPr="003949DD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Indicadores y protocolo de seguimiento y evaluación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 xml:space="preserve">: Se incluirá un listado de indicadores a utilizar para evaluar el desempeño de la infraestructura verde en las diferentes variables mencionadas, estableciendo un protocolo para su monitorización y la metodología de cálculo de los servicios </w:t>
            </w:r>
            <w:proofErr w:type="spellStart"/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>ecosistémicos</w:t>
            </w:r>
            <w:proofErr w:type="spellEnd"/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 xml:space="preserve">, traduciéndolo a reporte social y económico. </w:t>
            </w:r>
            <w:r w:rsidR="00A21311">
              <w:rPr>
                <w:rFonts w:eastAsia="Calibri" w:cs="Times New Roman"/>
                <w:iCs/>
                <w:sz w:val="20"/>
                <w:szCs w:val="20"/>
              </w:rPr>
              <w:t>El sistema de seguimiento se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 xml:space="preserve"> alineará por completo con los indicadores planteados en la presente propuesta, de manera que la 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lastRenderedPageBreak/>
              <w:t xml:space="preserve">evolución de las acciones B tengan cabida y puedan ser evaluadas correctamente a través de este marco que se conformará con </w:t>
            </w:r>
            <w:r w:rsidR="00330458">
              <w:rPr>
                <w:rFonts w:eastAsia="Calibri" w:cs="Times New Roman"/>
                <w:iCs/>
                <w:sz w:val="20"/>
                <w:szCs w:val="20"/>
              </w:rPr>
              <w:t>el Plan</w:t>
            </w:r>
            <w:r w:rsidR="003949DD" w:rsidRPr="003949DD">
              <w:rPr>
                <w:rFonts w:eastAsia="Calibri" w:cs="Times New Roman"/>
                <w:iCs/>
                <w:sz w:val="20"/>
                <w:szCs w:val="20"/>
              </w:rPr>
              <w:t>.</w:t>
            </w:r>
            <w:r w:rsidR="00330458">
              <w:rPr>
                <w:rFonts w:eastAsia="Calibri" w:cs="Times New Roman"/>
                <w:iCs/>
                <w:sz w:val="20"/>
                <w:szCs w:val="20"/>
              </w:rPr>
              <w:t xml:space="preserve"> Este marco permitirá también continuar con la monitorización y evaluación de las acciones B más allá de 2028.</w:t>
            </w:r>
          </w:p>
          <w:p w:rsidR="003949DD" w:rsidRDefault="008F4665" w:rsidP="003949DD">
            <w:pPr>
              <w:spacing w:after="0" w:line="240" w:lineRule="auto"/>
              <w:rPr>
                <w:rFonts w:eastAsia="Calibri" w:cs="Times New Roman"/>
                <w:b/>
                <w:iCs/>
                <w:sz w:val="20"/>
                <w:szCs w:val="20"/>
              </w:rPr>
            </w:pPr>
            <w:r>
              <w:rPr>
                <w:rFonts w:eastAsia="Calibri" w:cs="Times New Roman"/>
                <w:b/>
                <w:iCs/>
                <w:sz w:val="20"/>
                <w:szCs w:val="20"/>
              </w:rPr>
              <w:t xml:space="preserve">Por tanto, la estructura </w:t>
            </w:r>
            <w:r w:rsidR="001D642D">
              <w:rPr>
                <w:rFonts w:eastAsia="Calibri" w:cs="Times New Roman"/>
                <w:b/>
                <w:iCs/>
                <w:sz w:val="20"/>
                <w:szCs w:val="20"/>
              </w:rPr>
              <w:t xml:space="preserve">y contenidos mínimos que </w:t>
            </w:r>
            <w:r>
              <w:rPr>
                <w:rFonts w:eastAsia="Calibri" w:cs="Times New Roman"/>
                <w:b/>
                <w:iCs/>
                <w:sz w:val="20"/>
                <w:szCs w:val="20"/>
              </w:rPr>
              <w:t>contendrá el Plan d</w:t>
            </w:r>
            <w:r w:rsidR="001D642D">
              <w:rPr>
                <w:rFonts w:eastAsia="Calibri" w:cs="Times New Roman"/>
                <w:b/>
                <w:iCs/>
                <w:sz w:val="20"/>
                <w:szCs w:val="20"/>
              </w:rPr>
              <w:t>e Infraestructura Verde y Azul de Andújar serán:</w:t>
            </w:r>
          </w:p>
          <w:p w:rsidR="006A3D71" w:rsidRDefault="006A3D71" w:rsidP="001D642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>Introducción, antecedentes y objetivos</w:t>
            </w:r>
            <w:r w:rsidR="00080118">
              <w:rPr>
                <w:rFonts w:eastAsia="Calibri" w:cs="Times New Roman"/>
                <w:iCs/>
                <w:sz w:val="20"/>
                <w:szCs w:val="20"/>
              </w:rPr>
              <w:t>: Ámbito y alcance</w:t>
            </w:r>
          </w:p>
          <w:p w:rsidR="004C50ED" w:rsidRDefault="00682E84" w:rsidP="001D642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 xml:space="preserve">Análisis </w:t>
            </w:r>
            <w:r w:rsidR="004C50ED">
              <w:rPr>
                <w:rFonts w:eastAsia="Calibri" w:cs="Times New Roman"/>
                <w:iCs/>
                <w:sz w:val="20"/>
                <w:szCs w:val="20"/>
              </w:rPr>
              <w:t>y estudio de la IV urbana y municipal: Elementos (distintas escalas), conectividad y biodiversidad</w:t>
            </w:r>
          </w:p>
          <w:p w:rsidR="00080118" w:rsidRDefault="004C50ED" w:rsidP="001D642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>D</w:t>
            </w:r>
            <w:r w:rsidR="00080118">
              <w:rPr>
                <w:rFonts w:eastAsia="Calibri" w:cs="Times New Roman"/>
                <w:iCs/>
                <w:sz w:val="20"/>
                <w:szCs w:val="20"/>
              </w:rPr>
              <w:t>iagnóstico ecológico</w:t>
            </w:r>
            <w:r w:rsidR="0030694B">
              <w:rPr>
                <w:rFonts w:eastAsia="Calibri" w:cs="Times New Roman"/>
                <w:iCs/>
                <w:sz w:val="20"/>
                <w:szCs w:val="20"/>
              </w:rPr>
              <w:t xml:space="preserve"> de la</w:t>
            </w:r>
            <w:r w:rsidR="006D6C6F">
              <w:rPr>
                <w:rFonts w:eastAsia="Calibri" w:cs="Times New Roman"/>
                <w:iCs/>
                <w:sz w:val="20"/>
                <w:szCs w:val="20"/>
              </w:rPr>
              <w:t xml:space="preserve"> infraestructura verde municipal</w:t>
            </w:r>
            <w:r w:rsidR="00910F81">
              <w:rPr>
                <w:rFonts w:eastAsia="Calibri" w:cs="Times New Roman"/>
                <w:iCs/>
                <w:sz w:val="20"/>
                <w:szCs w:val="20"/>
              </w:rPr>
              <w:t>, a</w:t>
            </w:r>
            <w:r w:rsidR="000544B7">
              <w:rPr>
                <w:rFonts w:eastAsia="Calibri" w:cs="Times New Roman"/>
                <w:iCs/>
                <w:sz w:val="20"/>
                <w:szCs w:val="20"/>
              </w:rPr>
              <w:t xml:space="preserve">bordando todos los apartados a)-f) de la </w:t>
            </w:r>
            <w:proofErr w:type="spellStart"/>
            <w:r w:rsidR="000544B7">
              <w:rPr>
                <w:rFonts w:eastAsia="Calibri" w:cs="Times New Roman"/>
                <w:iCs/>
                <w:sz w:val="20"/>
                <w:szCs w:val="20"/>
              </w:rPr>
              <w:t>Act</w:t>
            </w:r>
            <w:proofErr w:type="spellEnd"/>
            <w:r w:rsidR="000544B7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="00235D73">
              <w:rPr>
                <w:rFonts w:eastAsia="Calibri" w:cs="Times New Roman"/>
                <w:iCs/>
                <w:sz w:val="20"/>
                <w:szCs w:val="20"/>
              </w:rPr>
              <w:t>7)</w:t>
            </w:r>
          </w:p>
          <w:p w:rsidR="00673141" w:rsidRDefault="00673141" w:rsidP="001D642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 xml:space="preserve">Evaluación de los servicios </w:t>
            </w:r>
            <w:proofErr w:type="spellStart"/>
            <w:r>
              <w:rPr>
                <w:rFonts w:eastAsia="Calibri" w:cs="Times New Roman"/>
                <w:iCs/>
                <w:sz w:val="20"/>
                <w:szCs w:val="20"/>
              </w:rPr>
              <w:t>ecosistémicos</w:t>
            </w:r>
            <w:proofErr w:type="spellEnd"/>
            <w:r>
              <w:rPr>
                <w:rFonts w:eastAsia="Calibri" w:cs="Times New Roman"/>
                <w:iCs/>
                <w:sz w:val="20"/>
                <w:szCs w:val="20"/>
              </w:rPr>
              <w:t xml:space="preserve"> de Andújar</w:t>
            </w:r>
          </w:p>
          <w:p w:rsidR="00DE3AFB" w:rsidRDefault="00080118" w:rsidP="001D642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>Análisis de riesgos</w:t>
            </w:r>
            <w:r w:rsidR="00DE3AFB">
              <w:rPr>
                <w:rFonts w:eastAsia="Calibri" w:cs="Times New Roman"/>
                <w:iCs/>
                <w:sz w:val="20"/>
                <w:szCs w:val="20"/>
              </w:rPr>
              <w:t xml:space="preserve"> frente al cambio climático: Escenarios, variables y áreas vulnerables</w:t>
            </w:r>
          </w:p>
          <w:p w:rsidR="001D642D" w:rsidRDefault="00673BB8" w:rsidP="001D642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>Síntesis y definición de problemas y oportunidades</w:t>
            </w:r>
          </w:p>
          <w:p w:rsidR="00673BB8" w:rsidRDefault="00673BB8" w:rsidP="001D642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 xml:space="preserve">Propuesta de </w:t>
            </w:r>
            <w:r w:rsidR="006D6C6F">
              <w:rPr>
                <w:rFonts w:eastAsia="Calibri" w:cs="Times New Roman"/>
                <w:iCs/>
                <w:sz w:val="20"/>
                <w:szCs w:val="20"/>
              </w:rPr>
              <w:t>actuaciones</w:t>
            </w:r>
          </w:p>
          <w:p w:rsidR="0030694B" w:rsidRDefault="0030694B" w:rsidP="001D642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>Plan de seguimiento</w:t>
            </w:r>
            <w:r w:rsidR="005A77E0">
              <w:rPr>
                <w:rFonts w:eastAsia="Calibri" w:cs="Times New Roman"/>
                <w:iCs/>
                <w:sz w:val="20"/>
                <w:szCs w:val="20"/>
              </w:rPr>
              <w:t>, vigencia y revisión</w:t>
            </w:r>
            <w:r w:rsidR="00DB39BB">
              <w:rPr>
                <w:rFonts w:eastAsia="Calibri" w:cs="Times New Roman"/>
                <w:iCs/>
                <w:sz w:val="20"/>
                <w:szCs w:val="20"/>
              </w:rPr>
              <w:t xml:space="preserve"> (</w:t>
            </w:r>
            <w:r w:rsidR="005A77E0">
              <w:rPr>
                <w:rFonts w:eastAsia="Calibri" w:cs="Times New Roman"/>
                <w:iCs/>
                <w:sz w:val="20"/>
                <w:szCs w:val="20"/>
              </w:rPr>
              <w:t xml:space="preserve">con los indicadores </w:t>
            </w:r>
            <w:r w:rsidR="00DB39BB">
              <w:rPr>
                <w:rFonts w:eastAsia="Calibri" w:cs="Times New Roman"/>
                <w:iCs/>
                <w:sz w:val="20"/>
                <w:szCs w:val="20"/>
              </w:rPr>
              <w:t>alineados con los recogidos en esta propuesta)</w:t>
            </w:r>
          </w:p>
          <w:p w:rsidR="005A77E0" w:rsidRDefault="005A77E0" w:rsidP="001D642D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 xml:space="preserve">Plan de comunicación </w:t>
            </w:r>
            <w:r w:rsidR="00910F81">
              <w:rPr>
                <w:rFonts w:eastAsia="Calibri" w:cs="Times New Roman"/>
                <w:iCs/>
                <w:sz w:val="20"/>
                <w:szCs w:val="20"/>
              </w:rPr>
              <w:t xml:space="preserve">del proceso de </w:t>
            </w:r>
            <w:proofErr w:type="spellStart"/>
            <w:r w:rsidR="00910F81">
              <w:rPr>
                <w:rFonts w:eastAsia="Calibri" w:cs="Times New Roman"/>
                <w:iCs/>
                <w:sz w:val="20"/>
                <w:szCs w:val="20"/>
              </w:rPr>
              <w:t>renaturalización</w:t>
            </w:r>
            <w:proofErr w:type="spellEnd"/>
            <w:r w:rsidR="00910F81">
              <w:rPr>
                <w:rFonts w:eastAsia="Calibri" w:cs="Times New Roman"/>
                <w:iCs/>
                <w:sz w:val="20"/>
                <w:szCs w:val="20"/>
              </w:rPr>
              <w:t xml:space="preserve"> de Andújar</w:t>
            </w:r>
          </w:p>
          <w:p w:rsidR="00A82252" w:rsidRPr="001618E0" w:rsidRDefault="00910F81" w:rsidP="003428C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>Gobernanza y proceso de la participación pública. Se pondrá el foco en</w:t>
            </w:r>
            <w:r w:rsidR="00673141">
              <w:rPr>
                <w:rFonts w:eastAsia="Calibri" w:cs="Times New Roman"/>
                <w:iCs/>
                <w:sz w:val="20"/>
                <w:szCs w:val="20"/>
              </w:rPr>
              <w:t xml:space="preserve"> cómo se va a implementar el Plan, quién</w:t>
            </w:r>
            <w:r w:rsidR="00E64DD2">
              <w:rPr>
                <w:rFonts w:eastAsia="Calibri" w:cs="Times New Roman"/>
                <w:iCs/>
                <w:sz w:val="20"/>
                <w:szCs w:val="20"/>
              </w:rPr>
              <w:t>es estar a cargo de la coordinación y ejecución, de qué manera se integrará transversalmente la implementación del Plan en todas las áreas del Ayuntamiento y, sobre todo</w:t>
            </w:r>
            <w:r w:rsidR="003428C7">
              <w:rPr>
                <w:rFonts w:eastAsia="Calibri" w:cs="Times New Roman"/>
                <w:iCs/>
                <w:sz w:val="20"/>
                <w:szCs w:val="20"/>
              </w:rPr>
              <w:t xml:space="preserve">, la forma en que </w:t>
            </w:r>
            <w:r>
              <w:rPr>
                <w:rFonts w:eastAsia="Calibri" w:cs="Times New Roman"/>
                <w:iCs/>
                <w:sz w:val="20"/>
                <w:szCs w:val="20"/>
              </w:rPr>
              <w:t xml:space="preserve">la ciudadanía podrá </w:t>
            </w:r>
            <w:r w:rsidR="00E24E0F">
              <w:rPr>
                <w:rFonts w:eastAsia="Calibri" w:cs="Times New Roman"/>
                <w:iCs/>
                <w:sz w:val="20"/>
                <w:szCs w:val="20"/>
              </w:rPr>
              <w:t>intervenir, proponer y opinar a lo largo de la implementación del Plan</w:t>
            </w:r>
            <w:r w:rsidR="003428C7">
              <w:rPr>
                <w:rFonts w:eastAsia="Calibri" w:cs="Times New Roman"/>
                <w:iCs/>
                <w:sz w:val="20"/>
                <w:szCs w:val="20"/>
              </w:rPr>
              <w:t xml:space="preserve">. Tanto para la ciudadanía como para los </w:t>
            </w:r>
            <w:r w:rsidR="00253585">
              <w:rPr>
                <w:rFonts w:eastAsia="Calibri" w:cs="Times New Roman"/>
                <w:iCs/>
                <w:sz w:val="20"/>
                <w:szCs w:val="20"/>
              </w:rPr>
              <w:t xml:space="preserve">grupos políticos y </w:t>
            </w:r>
            <w:r w:rsidR="003428C7">
              <w:rPr>
                <w:rFonts w:eastAsia="Calibri" w:cs="Times New Roman"/>
                <w:iCs/>
                <w:sz w:val="20"/>
                <w:szCs w:val="20"/>
              </w:rPr>
              <w:t>agentes sociales,</w:t>
            </w:r>
            <w:r w:rsidR="00253585">
              <w:rPr>
                <w:rFonts w:eastAsia="Calibri" w:cs="Times New Roman"/>
                <w:iCs/>
                <w:sz w:val="20"/>
                <w:szCs w:val="20"/>
              </w:rPr>
              <w:t xml:space="preserve"> se buscará mantener las figuras de la Comisión, Consejo y Foro de la Acción C1.</w:t>
            </w:r>
          </w:p>
        </w:tc>
      </w:tr>
      <w:tr w:rsidR="00A82252" w:rsidRPr="001618E0" w:rsidTr="00273F8D">
        <w:trPr>
          <w:trHeight w:val="452"/>
        </w:trPr>
        <w:tc>
          <w:tcPr>
            <w:tcW w:w="4898" w:type="dxa"/>
            <w:gridSpan w:val="3"/>
            <w:shd w:val="clear" w:color="auto" w:fill="215868" w:themeFill="accent5" w:themeFillShade="80"/>
            <w:vAlign w:val="center"/>
          </w:tcPr>
          <w:p w:rsidR="00A82252" w:rsidRPr="001618E0" w:rsidRDefault="00A82252" w:rsidP="00A82252">
            <w:pPr>
              <w:keepNext/>
              <w:spacing w:after="0" w:line="240" w:lineRule="auto"/>
              <w:ind w:left="28" w:right="28"/>
              <w:jc w:val="both"/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</w:pPr>
            <w:r w:rsidRPr="005E49F2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lastRenderedPageBreak/>
              <w:t>Presupuesto de la acción (€, con dos decimales)</w:t>
            </w:r>
          </w:p>
        </w:tc>
        <w:tc>
          <w:tcPr>
            <w:tcW w:w="5762" w:type="dxa"/>
            <w:shd w:val="clear" w:color="auto" w:fill="auto"/>
            <w:vAlign w:val="center"/>
          </w:tcPr>
          <w:p w:rsidR="00A82252" w:rsidRPr="00E20B59" w:rsidRDefault="00E20B59" w:rsidP="00E20B5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107.645,20 </w:t>
            </w:r>
            <w:r w:rsidR="00333D66" w:rsidRPr="00333D66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€</w:t>
            </w:r>
          </w:p>
        </w:tc>
      </w:tr>
      <w:tr w:rsidR="00A82252" w:rsidRPr="001618E0" w:rsidTr="004E36AE">
        <w:trPr>
          <w:trHeight w:val="420"/>
        </w:trPr>
        <w:tc>
          <w:tcPr>
            <w:tcW w:w="10660" w:type="dxa"/>
            <w:gridSpan w:val="4"/>
            <w:shd w:val="clear" w:color="auto" w:fill="31849B" w:themeFill="accent5" w:themeFillShade="BF"/>
            <w:vAlign w:val="center"/>
          </w:tcPr>
          <w:p w:rsidR="00A82252" w:rsidRPr="001618E0" w:rsidRDefault="00333B7E" w:rsidP="00A82252">
            <w:pPr>
              <w:keepNext/>
              <w:spacing w:after="0" w:line="240" w:lineRule="auto"/>
              <w:ind w:left="28" w:right="28"/>
              <w:jc w:val="both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>Descripción</w:t>
            </w:r>
            <w:r w:rsidRPr="001618E0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 del presupuesto </w:t>
            </w:r>
            <w:r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</w:t>
            </w:r>
            <w:r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No se deberán indicar importes en este apartado. Se deberá i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ndicar 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para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cada partida 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la descripción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de los gastos planteados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que corresponden a los importes reflejados en el Excel de Presupuesto para esta acción. En caso de agrupación, se indicará el detalle para cada una de las entidades que la conforman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. Mayor detalle (documentos completos) puede ser anexado como “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Documentación Adicional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” en el correspondiente campo de</w:t>
            </w:r>
            <w:r w:rsidR="00D20BFE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l</w:t>
            </w:r>
            <w:r w:rsidR="00D20BFE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a herramienta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 xml:space="preserve"> habilitado para la presentación de </w:t>
            </w:r>
            <w:r w:rsidR="00087C4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solicitudes</w:t>
            </w:r>
            <w:r w:rsidRPr="008216AC"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)</w:t>
            </w:r>
            <w:r>
              <w:rPr>
                <w:rFonts w:eastAsia="Calibri" w:cs="Times New Roman"/>
                <w:i/>
                <w:i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333B7E" w:rsidRPr="001618E0" w:rsidTr="00457D3D">
        <w:trPr>
          <w:trHeight w:val="63"/>
        </w:trPr>
        <w:tc>
          <w:tcPr>
            <w:tcW w:w="3006" w:type="dxa"/>
            <w:gridSpan w:val="2"/>
            <w:shd w:val="clear" w:color="auto" w:fill="215868" w:themeFill="accent5" w:themeFillShade="80"/>
            <w:vAlign w:val="center"/>
          </w:tcPr>
          <w:p w:rsidR="00333B7E" w:rsidRPr="00DB7D0E" w:rsidRDefault="00333B7E" w:rsidP="00A82252">
            <w:pPr>
              <w:spacing w:after="0" w:line="240" w:lineRule="auto"/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</w:pPr>
            <w:r w:rsidRPr="00DB7D0E"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>Partida presupuestaria</w:t>
            </w:r>
          </w:p>
        </w:tc>
        <w:tc>
          <w:tcPr>
            <w:tcW w:w="7654" w:type="dxa"/>
            <w:gridSpan w:val="2"/>
            <w:shd w:val="clear" w:color="auto" w:fill="215868" w:themeFill="accent5" w:themeFillShade="80"/>
            <w:vAlign w:val="center"/>
          </w:tcPr>
          <w:p w:rsidR="00333B7E" w:rsidRPr="00DB7D0E" w:rsidRDefault="00333B7E" w:rsidP="00A82252">
            <w:pPr>
              <w:spacing w:after="0" w:line="240" w:lineRule="auto"/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iCs/>
                <w:color w:val="FFFFFF" w:themeColor="background1"/>
                <w:sz w:val="20"/>
                <w:szCs w:val="20"/>
              </w:rPr>
              <w:t xml:space="preserve">Descripción de los gastos contemplados </w:t>
            </w:r>
            <w:r w:rsidRPr="00615EE4">
              <w:rPr>
                <w:rFonts w:eastAsia="Calibri" w:cs="Times New Roman"/>
                <w:i/>
                <w:color w:val="FFFFFF" w:themeColor="background1"/>
                <w:sz w:val="18"/>
                <w:szCs w:val="18"/>
              </w:rPr>
              <w:t>(por ejemplo, perfil del personal y tareas que desempeña, tipología de viajes y desplazamientos previstos, etc.)</w:t>
            </w:r>
          </w:p>
        </w:tc>
      </w:tr>
      <w:tr w:rsidR="00333B7E" w:rsidRPr="001618E0" w:rsidTr="003E3E40">
        <w:trPr>
          <w:trHeight w:val="193"/>
        </w:trPr>
        <w:tc>
          <w:tcPr>
            <w:tcW w:w="3006" w:type="dxa"/>
            <w:gridSpan w:val="2"/>
            <w:shd w:val="clear" w:color="000000" w:fill="F2F2F2"/>
            <w:vAlign w:val="center"/>
          </w:tcPr>
          <w:p w:rsidR="00333B7E" w:rsidRPr="00457D3D" w:rsidRDefault="00333B7E" w:rsidP="00A82252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457D3D">
              <w:rPr>
                <w:rFonts w:ascii="Calibri" w:hAnsi="Calibri" w:cs="Calibri"/>
                <w:color w:val="000000"/>
                <w:sz w:val="20"/>
                <w:szCs w:val="20"/>
              </w:rPr>
              <w:t>Personal</w:t>
            </w:r>
            <w:r w:rsidRPr="00457D3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gridSpan w:val="2"/>
            <w:vAlign w:val="center"/>
          </w:tcPr>
          <w:p w:rsidR="00D60F3B" w:rsidRPr="009A6488" w:rsidRDefault="00D60F3B" w:rsidP="00D60F3B">
            <w:pPr>
              <w:spacing w:after="6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9A6488">
              <w:rPr>
                <w:rFonts w:eastAsia="Calibri" w:cs="Times New Roman"/>
                <w:iCs/>
                <w:sz w:val="20"/>
                <w:szCs w:val="20"/>
              </w:rPr>
              <w:t>Se creará una OFICINA TÉCNICA MUNICIPAL FEDER REACTIVACIÓN ECOLÓGICA ANDÚJAR para toda la gestión del proyecto</w:t>
            </w:r>
            <w:r>
              <w:rPr>
                <w:rFonts w:eastAsia="Calibri" w:cs="Times New Roman"/>
                <w:iCs/>
                <w:sz w:val="20"/>
                <w:szCs w:val="20"/>
              </w:rPr>
              <w:t xml:space="preserve"> y redacción del Plan</w:t>
            </w:r>
            <w:r w:rsidRPr="009A6488">
              <w:rPr>
                <w:rFonts w:eastAsia="Calibri" w:cs="Times New Roman"/>
                <w:iCs/>
                <w:sz w:val="20"/>
                <w:szCs w:val="20"/>
              </w:rPr>
              <w:t>, con los siguientes integrantes:</w:t>
            </w:r>
          </w:p>
          <w:p w:rsidR="00D60F3B" w:rsidRPr="009A6488" w:rsidRDefault="00D60F3B" w:rsidP="00D60F3B">
            <w:pPr>
              <w:spacing w:after="6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9A6488">
              <w:rPr>
                <w:rFonts w:eastAsia="Calibri" w:cs="Times New Roman"/>
                <w:iCs/>
                <w:sz w:val="20"/>
                <w:szCs w:val="20"/>
              </w:rPr>
              <w:t>1 Técnico</w:t>
            </w:r>
            <w:r w:rsidR="00E20B59">
              <w:rPr>
                <w:rFonts w:eastAsia="Calibri" w:cs="Times New Roman"/>
                <w:iCs/>
                <w:sz w:val="20"/>
                <w:szCs w:val="20"/>
              </w:rPr>
              <w:t>/a</w:t>
            </w:r>
            <w:r w:rsidRPr="009A6488">
              <w:rPr>
                <w:rFonts w:eastAsia="Calibri" w:cs="Times New Roman"/>
                <w:iCs/>
                <w:sz w:val="20"/>
                <w:szCs w:val="20"/>
              </w:rPr>
              <w:t xml:space="preserve"> municipal (A1 26) para redacción de proyectos técnicos y pliegos de prescripciones y dirección técnica de las acciones.</w:t>
            </w:r>
          </w:p>
          <w:p w:rsidR="00D60F3B" w:rsidRDefault="00D60F3B" w:rsidP="00D60F3B">
            <w:pPr>
              <w:spacing w:after="6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9A6488">
              <w:rPr>
                <w:rFonts w:eastAsia="Calibri" w:cs="Times New Roman"/>
                <w:iCs/>
                <w:sz w:val="20"/>
                <w:szCs w:val="20"/>
              </w:rPr>
              <w:t>1</w:t>
            </w:r>
            <w:r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  <w:r w:rsidRPr="009A6488">
              <w:rPr>
                <w:rFonts w:eastAsia="Calibri" w:cs="Times New Roman"/>
                <w:iCs/>
                <w:sz w:val="20"/>
                <w:szCs w:val="20"/>
              </w:rPr>
              <w:t>Técnico</w:t>
            </w:r>
            <w:r w:rsidR="00E20B59">
              <w:rPr>
                <w:rFonts w:eastAsia="Calibri" w:cs="Times New Roman"/>
                <w:iCs/>
                <w:sz w:val="20"/>
                <w:szCs w:val="20"/>
              </w:rPr>
              <w:t>/a</w:t>
            </w:r>
            <w:r w:rsidRPr="009A6488">
              <w:rPr>
                <w:rFonts w:eastAsia="Calibri" w:cs="Times New Roman"/>
                <w:iCs/>
                <w:sz w:val="20"/>
                <w:szCs w:val="20"/>
              </w:rPr>
              <w:t xml:space="preserve"> municipal (A1 </w:t>
            </w:r>
            <w:proofErr w:type="gramStart"/>
            <w:r w:rsidRPr="009A6488">
              <w:rPr>
                <w:rFonts w:eastAsia="Calibri" w:cs="Times New Roman"/>
                <w:iCs/>
                <w:sz w:val="20"/>
                <w:szCs w:val="20"/>
              </w:rPr>
              <w:t>26 )</w:t>
            </w:r>
            <w:proofErr w:type="gramEnd"/>
            <w:r w:rsidRPr="009A6488">
              <w:rPr>
                <w:rFonts w:eastAsia="Calibri" w:cs="Times New Roman"/>
                <w:iCs/>
                <w:sz w:val="20"/>
                <w:szCs w:val="20"/>
              </w:rPr>
              <w:t xml:space="preserve"> para control administrativo, gestión jurídica y justificación económica.</w:t>
            </w:r>
          </w:p>
          <w:p w:rsidR="00E20B59" w:rsidRDefault="00E20B59" w:rsidP="00D60F3B">
            <w:pPr>
              <w:spacing w:after="6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>1 Técnico/a municipal (A2-24) ara control calidad, sistema indicadores y enfoque de género.</w:t>
            </w:r>
          </w:p>
          <w:p w:rsidR="00D60F3B" w:rsidRPr="009A6488" w:rsidRDefault="00D60F3B" w:rsidP="00D60F3B">
            <w:pPr>
              <w:spacing w:after="6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9A6488">
              <w:rPr>
                <w:rFonts w:eastAsia="Calibri" w:cs="Times New Roman"/>
                <w:iCs/>
                <w:sz w:val="20"/>
                <w:szCs w:val="20"/>
              </w:rPr>
              <w:t>1 Administrativo (C1 20)</w:t>
            </w:r>
          </w:p>
          <w:p w:rsidR="00D60F3B" w:rsidRPr="009A6488" w:rsidRDefault="00D60F3B" w:rsidP="00D60F3B">
            <w:pPr>
              <w:spacing w:after="6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9A6488">
              <w:rPr>
                <w:rFonts w:eastAsia="Calibri" w:cs="Times New Roman"/>
                <w:iCs/>
                <w:sz w:val="20"/>
                <w:szCs w:val="20"/>
              </w:rPr>
              <w:t xml:space="preserve">Supervisión: Técnica Municipal Medio Ambiente </w:t>
            </w:r>
          </w:p>
          <w:p w:rsidR="00333B7E" w:rsidRPr="001618E0" w:rsidRDefault="00D60F3B" w:rsidP="00D60F3B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9A6488">
              <w:rPr>
                <w:rFonts w:eastAsia="Calibri" w:cs="Times New Roman"/>
                <w:iCs/>
                <w:sz w:val="20"/>
                <w:szCs w:val="20"/>
              </w:rPr>
              <w:t>Coordinación: Jefe Servicio Medio Ambiente</w:t>
            </w:r>
          </w:p>
        </w:tc>
      </w:tr>
      <w:tr w:rsidR="00333B7E" w:rsidRPr="001618E0" w:rsidTr="00457D3D">
        <w:trPr>
          <w:trHeight w:val="269"/>
        </w:trPr>
        <w:tc>
          <w:tcPr>
            <w:tcW w:w="3006" w:type="dxa"/>
            <w:gridSpan w:val="2"/>
            <w:shd w:val="clear" w:color="000000" w:fill="F2F2F2"/>
            <w:vAlign w:val="center"/>
          </w:tcPr>
          <w:p w:rsidR="00333B7E" w:rsidRPr="00457D3D" w:rsidRDefault="00333B7E" w:rsidP="00A82252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457D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Viajes y manutención </w:t>
            </w:r>
          </w:p>
        </w:tc>
        <w:tc>
          <w:tcPr>
            <w:tcW w:w="7654" w:type="dxa"/>
            <w:gridSpan w:val="2"/>
            <w:vAlign w:val="center"/>
          </w:tcPr>
          <w:p w:rsidR="00333B7E" w:rsidRPr="004E36AE" w:rsidRDefault="00333B7E" w:rsidP="00A82252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333B7E" w:rsidRPr="001618E0" w:rsidTr="00457D3D">
        <w:trPr>
          <w:trHeight w:val="63"/>
        </w:trPr>
        <w:tc>
          <w:tcPr>
            <w:tcW w:w="3006" w:type="dxa"/>
            <w:gridSpan w:val="2"/>
            <w:shd w:val="clear" w:color="000000" w:fill="F2F2F2"/>
            <w:vAlign w:val="center"/>
          </w:tcPr>
          <w:p w:rsidR="00333B7E" w:rsidRPr="00457D3D" w:rsidRDefault="00333B7E" w:rsidP="00A82252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457D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Contratación </w:t>
            </w:r>
          </w:p>
        </w:tc>
        <w:tc>
          <w:tcPr>
            <w:tcW w:w="7654" w:type="dxa"/>
            <w:gridSpan w:val="2"/>
            <w:vAlign w:val="center"/>
          </w:tcPr>
          <w:p w:rsidR="00333B7E" w:rsidRPr="001618E0" w:rsidRDefault="00D60F3B" w:rsidP="00A82252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proofErr w:type="spellStart"/>
            <w:r>
              <w:rPr>
                <w:rFonts w:eastAsia="Calibri" w:cs="Times New Roman"/>
                <w:iCs/>
                <w:sz w:val="20"/>
                <w:szCs w:val="20"/>
              </w:rPr>
              <w:t>Externalización</w:t>
            </w:r>
            <w:proofErr w:type="spellEnd"/>
            <w:r>
              <w:rPr>
                <w:rFonts w:eastAsia="Calibri" w:cs="Times New Roman"/>
                <w:iCs/>
                <w:sz w:val="20"/>
                <w:szCs w:val="20"/>
              </w:rPr>
              <w:t xml:space="preserve"> de la redacción del Plan de Infraestructura Verde y Azul de Andújar</w:t>
            </w:r>
          </w:p>
        </w:tc>
      </w:tr>
      <w:tr w:rsidR="00333B7E" w:rsidRPr="001618E0" w:rsidTr="00457D3D">
        <w:trPr>
          <w:trHeight w:val="63"/>
        </w:trPr>
        <w:tc>
          <w:tcPr>
            <w:tcW w:w="3006" w:type="dxa"/>
            <w:gridSpan w:val="2"/>
            <w:shd w:val="clear" w:color="000000" w:fill="F2F2F2"/>
            <w:vAlign w:val="center"/>
          </w:tcPr>
          <w:p w:rsidR="00333B7E" w:rsidRPr="00457D3D" w:rsidRDefault="00333B7E" w:rsidP="00A82252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457D3D">
              <w:rPr>
                <w:rFonts w:ascii="Calibri" w:hAnsi="Calibri" w:cs="Calibri"/>
                <w:color w:val="000000"/>
                <w:sz w:val="20"/>
                <w:szCs w:val="20"/>
              </w:rPr>
              <w:t>Subcontratación</w:t>
            </w:r>
          </w:p>
        </w:tc>
        <w:tc>
          <w:tcPr>
            <w:tcW w:w="7654" w:type="dxa"/>
            <w:gridSpan w:val="2"/>
            <w:vAlign w:val="center"/>
          </w:tcPr>
          <w:p w:rsidR="00333B7E" w:rsidRPr="001618E0" w:rsidRDefault="00333B7E" w:rsidP="00A82252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333B7E" w:rsidRPr="001618E0" w:rsidTr="00457D3D">
        <w:trPr>
          <w:trHeight w:val="334"/>
        </w:trPr>
        <w:tc>
          <w:tcPr>
            <w:tcW w:w="3006" w:type="dxa"/>
            <w:gridSpan w:val="2"/>
            <w:shd w:val="clear" w:color="000000" w:fill="F2F2F2"/>
            <w:vAlign w:val="center"/>
          </w:tcPr>
          <w:p w:rsidR="00333B7E" w:rsidRPr="00457D3D" w:rsidRDefault="00333B7E" w:rsidP="00A82252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457D3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Material </w:t>
            </w:r>
            <w:proofErr w:type="spellStart"/>
            <w:r w:rsidRPr="00457D3D">
              <w:rPr>
                <w:rFonts w:ascii="Calibri" w:hAnsi="Calibri" w:cs="Calibri"/>
                <w:color w:val="000000"/>
                <w:sz w:val="20"/>
                <w:szCs w:val="20"/>
              </w:rPr>
              <w:t>inventariable</w:t>
            </w:r>
            <w:proofErr w:type="spellEnd"/>
          </w:p>
        </w:tc>
        <w:tc>
          <w:tcPr>
            <w:tcW w:w="7654" w:type="dxa"/>
            <w:gridSpan w:val="2"/>
            <w:vAlign w:val="center"/>
          </w:tcPr>
          <w:p w:rsidR="00333B7E" w:rsidRPr="001618E0" w:rsidRDefault="00333B7E" w:rsidP="00A82252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333B7E" w:rsidRPr="001618E0" w:rsidTr="00457D3D">
        <w:trPr>
          <w:trHeight w:val="63"/>
        </w:trPr>
        <w:tc>
          <w:tcPr>
            <w:tcW w:w="3006" w:type="dxa"/>
            <w:gridSpan w:val="2"/>
            <w:shd w:val="clear" w:color="000000" w:fill="F2F2F2"/>
            <w:vAlign w:val="center"/>
          </w:tcPr>
          <w:p w:rsidR="00333B7E" w:rsidRPr="00457D3D" w:rsidRDefault="00333B7E" w:rsidP="00A82252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457D3D">
              <w:rPr>
                <w:rFonts w:ascii="Calibri" w:hAnsi="Calibri" w:cs="Calibri"/>
                <w:color w:val="000000"/>
                <w:sz w:val="20"/>
                <w:szCs w:val="20"/>
              </w:rPr>
              <w:t>Material fungible</w:t>
            </w:r>
          </w:p>
        </w:tc>
        <w:tc>
          <w:tcPr>
            <w:tcW w:w="7654" w:type="dxa"/>
            <w:gridSpan w:val="2"/>
            <w:vAlign w:val="center"/>
          </w:tcPr>
          <w:p w:rsidR="00333B7E" w:rsidRPr="001618E0" w:rsidRDefault="00333B7E" w:rsidP="00A82252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333B7E" w:rsidRPr="001618E0" w:rsidTr="00457D3D">
        <w:trPr>
          <w:trHeight w:val="63"/>
        </w:trPr>
        <w:tc>
          <w:tcPr>
            <w:tcW w:w="3006" w:type="dxa"/>
            <w:gridSpan w:val="2"/>
            <w:shd w:val="clear" w:color="000000" w:fill="F2F2F2"/>
            <w:vAlign w:val="center"/>
          </w:tcPr>
          <w:p w:rsidR="00333B7E" w:rsidRPr="00457D3D" w:rsidRDefault="00333B7E" w:rsidP="00A82252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  <w:highlight w:val="yellow"/>
              </w:rPr>
            </w:pPr>
            <w:r w:rsidRPr="00457D3D">
              <w:rPr>
                <w:rFonts w:ascii="Calibri" w:hAnsi="Calibri" w:cs="Calibri"/>
                <w:sz w:val="20"/>
                <w:szCs w:val="20"/>
              </w:rPr>
              <w:t>Otros (gastos de expropiación e intereses de la garantía bancaria)</w:t>
            </w:r>
          </w:p>
        </w:tc>
        <w:tc>
          <w:tcPr>
            <w:tcW w:w="7654" w:type="dxa"/>
            <w:gridSpan w:val="2"/>
            <w:vAlign w:val="center"/>
          </w:tcPr>
          <w:p w:rsidR="00333B7E" w:rsidRPr="001618E0" w:rsidRDefault="00333B7E" w:rsidP="00A82252">
            <w:p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</w:p>
        </w:tc>
      </w:tr>
      <w:tr w:rsidR="00A82252" w:rsidRPr="001618E0" w:rsidTr="004E36AE">
        <w:trPr>
          <w:trHeight w:val="343"/>
        </w:trPr>
        <w:tc>
          <w:tcPr>
            <w:tcW w:w="10660" w:type="dxa"/>
            <w:gridSpan w:val="4"/>
            <w:shd w:val="clear" w:color="auto" w:fill="31849B" w:themeFill="accent5" w:themeFillShade="BF"/>
          </w:tcPr>
          <w:p w:rsidR="00A82252" w:rsidRPr="001618E0" w:rsidRDefault="00A82252" w:rsidP="00A82252">
            <w:pPr>
              <w:keepNext/>
              <w:spacing w:after="0" w:line="240" w:lineRule="auto"/>
              <w:rPr>
                <w:color w:val="FFFFFF" w:themeColor="background1"/>
                <w:sz w:val="20"/>
                <w:szCs w:val="20"/>
              </w:rPr>
            </w:pPr>
            <w:r w:rsidRPr="00487424">
              <w:rPr>
                <w:rFonts w:eastAsia="Calibri" w:cs="Times New Roman"/>
                <w:b/>
                <w:iCs/>
                <w:color w:val="FFFFFF" w:themeColor="background1"/>
                <w:sz w:val="20"/>
                <w:szCs w:val="20"/>
              </w:rPr>
              <w:t xml:space="preserve">Obstáculos previstos </w:t>
            </w:r>
            <w:r w:rsidRPr="008216AC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(Indicar aquellas circunstancias que puedan, previsiblemente, dificultar la consecución de los resultados esperados y sintetizar las medidas de actuación que se plantean para solventarlas)</w:t>
            </w:r>
            <w:r w:rsidR="008F2D12">
              <w:rPr>
                <w:rFonts w:eastAsia="Calibri" w:cs="Times New Roman"/>
                <w:bCs/>
                <w:i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A82252" w:rsidRPr="001618E0" w:rsidTr="008F2D12">
        <w:trPr>
          <w:trHeight w:val="487"/>
        </w:trPr>
        <w:tc>
          <w:tcPr>
            <w:tcW w:w="10660" w:type="dxa"/>
            <w:gridSpan w:val="4"/>
            <w:vAlign w:val="center"/>
          </w:tcPr>
          <w:p w:rsidR="00E53593" w:rsidRDefault="00644CED" w:rsidP="00E53593">
            <w:pPr>
              <w:numPr>
                <w:ilvl w:val="0"/>
                <w:numId w:val="3"/>
              </w:num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644CED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Retraso en el proceso administrativo de licitación de</w:t>
            </w:r>
            <w:r w:rsidR="00E53593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l Plan</w:t>
            </w:r>
            <w:r w:rsidRPr="00644CED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: </w:t>
            </w:r>
            <w:r w:rsidRPr="00644CED">
              <w:rPr>
                <w:rFonts w:eastAsia="Calibri" w:cs="Times New Roman"/>
                <w:iCs/>
                <w:sz w:val="20"/>
                <w:szCs w:val="20"/>
              </w:rPr>
              <w:t>Se lanzará, con carácter preferente, al comienz</w:t>
            </w:r>
            <w:r w:rsidR="00E53593">
              <w:rPr>
                <w:rFonts w:eastAsia="Calibri" w:cs="Times New Roman"/>
                <w:iCs/>
                <w:sz w:val="20"/>
                <w:szCs w:val="20"/>
              </w:rPr>
              <w:t>o de la implementación del presente proyecto.</w:t>
            </w:r>
          </w:p>
          <w:p w:rsidR="00A82252" w:rsidRPr="001618E0" w:rsidRDefault="00644CED" w:rsidP="00E53593">
            <w:pPr>
              <w:numPr>
                <w:ilvl w:val="0"/>
                <w:numId w:val="3"/>
              </w:numPr>
              <w:spacing w:after="0"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644CED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 xml:space="preserve">Escasa cultura en la participación y </w:t>
            </w:r>
            <w:proofErr w:type="spellStart"/>
            <w:r w:rsidRPr="00644CED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co</w:t>
            </w:r>
            <w:proofErr w:type="spellEnd"/>
            <w:r w:rsidRPr="00644CED">
              <w:rPr>
                <w:rFonts w:eastAsia="Calibri" w:cs="Times New Roman"/>
                <w:b/>
                <w:bCs/>
                <w:iCs/>
                <w:sz w:val="20"/>
                <w:szCs w:val="20"/>
              </w:rPr>
              <w:t>-diseño de soluciones entre la ciudadanía.</w:t>
            </w:r>
            <w:r w:rsidRPr="00644CED">
              <w:rPr>
                <w:rFonts w:eastAsia="Calibri" w:cs="Times New Roman"/>
                <w:iCs/>
                <w:sz w:val="20"/>
                <w:szCs w:val="20"/>
              </w:rPr>
              <w:t xml:space="preserve"> Se explicarán de manera clara y pormenorizada los objetivos, alcance y atribuciones de cada una </w:t>
            </w:r>
            <w:r w:rsidR="00E53593">
              <w:rPr>
                <w:rFonts w:eastAsia="Calibri" w:cs="Times New Roman"/>
                <w:iCs/>
                <w:sz w:val="20"/>
                <w:szCs w:val="20"/>
              </w:rPr>
              <w:t>l</w:t>
            </w:r>
            <w:r w:rsidRPr="00644CED">
              <w:rPr>
                <w:rFonts w:eastAsia="Calibri" w:cs="Times New Roman"/>
                <w:iCs/>
                <w:sz w:val="20"/>
                <w:szCs w:val="20"/>
              </w:rPr>
              <w:t>as estructuras de gobernanza creadas</w:t>
            </w:r>
            <w:r w:rsidR="00E53593">
              <w:rPr>
                <w:rFonts w:eastAsia="Calibri" w:cs="Times New Roman"/>
                <w:iCs/>
                <w:sz w:val="20"/>
                <w:szCs w:val="20"/>
              </w:rPr>
              <w:t xml:space="preserve">, apelando a la capacidad que poseen los ciudadanos/as a la hora de diseñar el futuro de su </w:t>
            </w:r>
            <w:r w:rsidR="00510221">
              <w:rPr>
                <w:rFonts w:eastAsia="Calibri" w:cs="Times New Roman"/>
                <w:iCs/>
                <w:sz w:val="20"/>
                <w:szCs w:val="20"/>
              </w:rPr>
              <w:t>ciudad.</w:t>
            </w:r>
          </w:p>
        </w:tc>
      </w:tr>
      <w:bookmarkEnd w:id="0"/>
    </w:tbl>
    <w:p w:rsidR="00457D3D" w:rsidRDefault="00457D3D" w:rsidP="00DF7DC2">
      <w:pPr>
        <w:spacing w:after="0" w:line="240" w:lineRule="auto"/>
      </w:pPr>
    </w:p>
    <w:sectPr w:rsidR="00457D3D" w:rsidSect="00457D3D">
      <w:headerReference w:type="default" r:id="rId11"/>
      <w:footerReference w:type="default" r:id="rId12"/>
      <w:pgSz w:w="11906" w:h="16838"/>
      <w:pgMar w:top="1418" w:right="425" w:bottom="1134" w:left="567" w:header="709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8B3" w:rsidRDefault="000238B3" w:rsidP="00CB75D8">
      <w:pPr>
        <w:spacing w:after="0" w:line="240" w:lineRule="auto"/>
      </w:pPr>
      <w:r>
        <w:separator/>
      </w:r>
    </w:p>
  </w:endnote>
  <w:endnote w:type="continuationSeparator" w:id="0">
    <w:p w:rsidR="000238B3" w:rsidRDefault="000238B3" w:rsidP="00CB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EF6" w:rsidRPr="007827AF" w:rsidRDefault="00FE0E0F">
    <w:pPr>
      <w:pStyle w:val="Piedepgina"/>
      <w:jc w:val="center"/>
      <w:rPr>
        <w:caps/>
        <w:sz w:val="20"/>
        <w:szCs w:val="20"/>
      </w:rPr>
    </w:pPr>
    <w:r w:rsidRPr="007827AF">
      <w:rPr>
        <w:caps/>
        <w:sz w:val="20"/>
        <w:szCs w:val="20"/>
      </w:rPr>
      <w:fldChar w:fldCharType="begin"/>
    </w:r>
    <w:r w:rsidR="00CE6EF6" w:rsidRPr="007827AF">
      <w:rPr>
        <w:caps/>
        <w:sz w:val="20"/>
        <w:szCs w:val="20"/>
      </w:rPr>
      <w:instrText>PAGE   \* MERGEFORMAT</w:instrText>
    </w:r>
    <w:r w:rsidRPr="007827AF">
      <w:rPr>
        <w:caps/>
        <w:sz w:val="20"/>
        <w:szCs w:val="20"/>
      </w:rPr>
      <w:fldChar w:fldCharType="separate"/>
    </w:r>
    <w:r w:rsidR="00E20B59">
      <w:rPr>
        <w:caps/>
        <w:noProof/>
        <w:sz w:val="20"/>
        <w:szCs w:val="20"/>
      </w:rPr>
      <w:t>4</w:t>
    </w:r>
    <w:r w:rsidRPr="007827AF">
      <w:rPr>
        <w:caps/>
        <w:sz w:val="20"/>
        <w:szCs w:val="20"/>
      </w:rPr>
      <w:fldChar w:fldCharType="end"/>
    </w:r>
  </w:p>
  <w:p w:rsidR="003C60F7" w:rsidRDefault="003C60F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8B3" w:rsidRDefault="000238B3" w:rsidP="00CB75D8">
      <w:pPr>
        <w:spacing w:after="0" w:line="240" w:lineRule="auto"/>
      </w:pPr>
      <w:r>
        <w:separator/>
      </w:r>
    </w:p>
  </w:footnote>
  <w:footnote w:type="continuationSeparator" w:id="0">
    <w:p w:rsidR="000238B3" w:rsidRDefault="000238B3" w:rsidP="00CB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EE5" w:rsidRDefault="007E4873" w:rsidP="00446846">
    <w:pPr>
      <w:pStyle w:val="Encabezado"/>
      <w:jc w:val="center"/>
      <w:rPr>
        <w:rFonts w:ascii="Calibri" w:eastAsia="Times New Roman" w:hAnsi="Calibri" w:cs="Calibri"/>
        <w:b/>
        <w:bCs/>
        <w:color w:val="006666"/>
        <w:sz w:val="32"/>
        <w:szCs w:val="30"/>
        <w:lang w:eastAsia="es-ES"/>
      </w:rPr>
    </w:pPr>
    <w:r>
      <w:rPr>
        <w:noProof/>
        <w:lang w:eastAsia="es-ES"/>
      </w:rPr>
      <w:drawing>
        <wp:inline distT="0" distB="0" distL="0" distR="0">
          <wp:extent cx="6523720" cy="344862"/>
          <wp:effectExtent l="0" t="0" r="0" b="0"/>
          <wp:docPr id="13320692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3525" cy="349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3E40" w:rsidRDefault="003E3E40" w:rsidP="003E3E40">
    <w:pPr>
      <w:spacing w:after="0"/>
      <w:jc w:val="center"/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</w:pPr>
  </w:p>
  <w:p w:rsidR="00954B37" w:rsidRPr="003E3E40" w:rsidRDefault="003E3E40" w:rsidP="003E3E40">
    <w:pPr>
      <w:jc w:val="center"/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</w:pPr>
    <w:r w:rsidRPr="00E20500"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  <w:t xml:space="preserve">Convocatoria de subvenciones de la Fundación Biodiversidad F.S.P., en régimen de concurrencia competitiva, para el fomento de actuaciones dirigidas al desarrollo y consolidación de la infraestructura verde para la </w:t>
    </w:r>
    <w:proofErr w:type="spellStart"/>
    <w:r w:rsidRPr="00E20500"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  <w:t>renaturalización</w:t>
    </w:r>
    <w:proofErr w:type="spellEnd"/>
    <w:r w:rsidRPr="00E20500"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  <w:t xml:space="preserve"> y </w:t>
    </w:r>
    <w:proofErr w:type="spellStart"/>
    <w:r w:rsidRPr="00E20500"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  <w:t>resiliencia</w:t>
    </w:r>
    <w:proofErr w:type="spellEnd"/>
    <w:r w:rsidRPr="00E20500">
      <w:rPr>
        <w:rFonts w:ascii="Calibri Light" w:eastAsia="Times New Roman" w:hAnsi="Calibri Light" w:cs="Calibri Light"/>
        <w:color w:val="0D0D0D" w:themeColor="text1" w:themeTint="F2"/>
        <w:sz w:val="20"/>
        <w:szCs w:val="20"/>
        <w:lang w:eastAsia="es-ES"/>
      </w:rPr>
      <w:t xml:space="preserve"> de ciudades españolas correspondiente al año 2024 cofinanciada por el Fondo Europeo de Desarrollo Regional (FEDER)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9B4"/>
    <w:multiLevelType w:val="hybridMultilevel"/>
    <w:tmpl w:val="90CC6F72"/>
    <w:lvl w:ilvl="0" w:tplc="FC9478A8">
      <w:start w:val="1"/>
      <w:numFmt w:val="decimal"/>
      <w:lvlText w:val="%1."/>
      <w:lvlJc w:val="left"/>
      <w:pPr>
        <w:ind w:left="763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83" w:hanging="360"/>
      </w:pPr>
    </w:lvl>
    <w:lvl w:ilvl="2" w:tplc="0C0A001B">
      <w:start w:val="1"/>
      <w:numFmt w:val="lowerRoman"/>
      <w:lvlText w:val="%3."/>
      <w:lvlJc w:val="right"/>
      <w:pPr>
        <w:ind w:left="2203" w:hanging="180"/>
      </w:pPr>
    </w:lvl>
    <w:lvl w:ilvl="3" w:tplc="0C0A000F">
      <w:start w:val="1"/>
      <w:numFmt w:val="decimal"/>
      <w:lvlText w:val="%4."/>
      <w:lvlJc w:val="left"/>
      <w:pPr>
        <w:ind w:left="2923" w:hanging="360"/>
      </w:pPr>
    </w:lvl>
    <w:lvl w:ilvl="4" w:tplc="0C0A0019">
      <w:start w:val="1"/>
      <w:numFmt w:val="lowerLetter"/>
      <w:lvlText w:val="%5."/>
      <w:lvlJc w:val="left"/>
      <w:pPr>
        <w:ind w:left="3643" w:hanging="360"/>
      </w:pPr>
    </w:lvl>
    <w:lvl w:ilvl="5" w:tplc="0C0A001B">
      <w:start w:val="1"/>
      <w:numFmt w:val="lowerRoman"/>
      <w:lvlText w:val="%6."/>
      <w:lvlJc w:val="right"/>
      <w:pPr>
        <w:ind w:left="4363" w:hanging="180"/>
      </w:pPr>
    </w:lvl>
    <w:lvl w:ilvl="6" w:tplc="0C0A000F">
      <w:start w:val="1"/>
      <w:numFmt w:val="decimal"/>
      <w:lvlText w:val="%7."/>
      <w:lvlJc w:val="left"/>
      <w:pPr>
        <w:ind w:left="5083" w:hanging="360"/>
      </w:pPr>
    </w:lvl>
    <w:lvl w:ilvl="7" w:tplc="0C0A0019">
      <w:start w:val="1"/>
      <w:numFmt w:val="lowerLetter"/>
      <w:lvlText w:val="%8."/>
      <w:lvlJc w:val="left"/>
      <w:pPr>
        <w:ind w:left="5803" w:hanging="360"/>
      </w:pPr>
    </w:lvl>
    <w:lvl w:ilvl="8" w:tplc="0C0A001B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0C8C045E"/>
    <w:multiLevelType w:val="hybridMultilevel"/>
    <w:tmpl w:val="4E687DB0"/>
    <w:lvl w:ilvl="0" w:tplc="A50C24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34A97"/>
    <w:multiLevelType w:val="hybridMultilevel"/>
    <w:tmpl w:val="A05EB2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97252"/>
    <w:multiLevelType w:val="hybridMultilevel"/>
    <w:tmpl w:val="FEE8A9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30E51"/>
    <w:rsid w:val="000030CD"/>
    <w:rsid w:val="00017EA8"/>
    <w:rsid w:val="00020461"/>
    <w:rsid w:val="000222F4"/>
    <w:rsid w:val="000238B3"/>
    <w:rsid w:val="00024D6C"/>
    <w:rsid w:val="00025D23"/>
    <w:rsid w:val="0003269D"/>
    <w:rsid w:val="00042C76"/>
    <w:rsid w:val="00046A8E"/>
    <w:rsid w:val="0005168B"/>
    <w:rsid w:val="000544B7"/>
    <w:rsid w:val="000550A6"/>
    <w:rsid w:val="00060306"/>
    <w:rsid w:val="00062B89"/>
    <w:rsid w:val="00075697"/>
    <w:rsid w:val="00080118"/>
    <w:rsid w:val="0008615F"/>
    <w:rsid w:val="00086C9C"/>
    <w:rsid w:val="00087C4C"/>
    <w:rsid w:val="00093189"/>
    <w:rsid w:val="0009445D"/>
    <w:rsid w:val="000950E2"/>
    <w:rsid w:val="000A1CD6"/>
    <w:rsid w:val="000A423C"/>
    <w:rsid w:val="000B031A"/>
    <w:rsid w:val="000B4191"/>
    <w:rsid w:val="000B688D"/>
    <w:rsid w:val="000C05DE"/>
    <w:rsid w:val="000C07CE"/>
    <w:rsid w:val="000C1EE5"/>
    <w:rsid w:val="000C4263"/>
    <w:rsid w:val="000C5059"/>
    <w:rsid w:val="000C5DB2"/>
    <w:rsid w:val="000F4DE9"/>
    <w:rsid w:val="00100DCF"/>
    <w:rsid w:val="00101CD7"/>
    <w:rsid w:val="00120778"/>
    <w:rsid w:val="0012399E"/>
    <w:rsid w:val="00133E93"/>
    <w:rsid w:val="00134375"/>
    <w:rsid w:val="00142577"/>
    <w:rsid w:val="00143ACA"/>
    <w:rsid w:val="00151ECA"/>
    <w:rsid w:val="00154FDB"/>
    <w:rsid w:val="00157923"/>
    <w:rsid w:val="001618E0"/>
    <w:rsid w:val="00163919"/>
    <w:rsid w:val="001652FC"/>
    <w:rsid w:val="0016546A"/>
    <w:rsid w:val="00180B7D"/>
    <w:rsid w:val="001830C3"/>
    <w:rsid w:val="00187527"/>
    <w:rsid w:val="001A65C5"/>
    <w:rsid w:val="001B1C86"/>
    <w:rsid w:val="001B42DF"/>
    <w:rsid w:val="001B5922"/>
    <w:rsid w:val="001B6063"/>
    <w:rsid w:val="001C49BC"/>
    <w:rsid w:val="001C4A8B"/>
    <w:rsid w:val="001C5500"/>
    <w:rsid w:val="001D3D77"/>
    <w:rsid w:val="001D642D"/>
    <w:rsid w:val="001D6BE7"/>
    <w:rsid w:val="001D6FD4"/>
    <w:rsid w:val="001E3091"/>
    <w:rsid w:val="001E391E"/>
    <w:rsid w:val="001F6C69"/>
    <w:rsid w:val="001F7E68"/>
    <w:rsid w:val="00201C4F"/>
    <w:rsid w:val="0021190A"/>
    <w:rsid w:val="002248D9"/>
    <w:rsid w:val="00226098"/>
    <w:rsid w:val="00230069"/>
    <w:rsid w:val="00235D73"/>
    <w:rsid w:val="00236920"/>
    <w:rsid w:val="00236F93"/>
    <w:rsid w:val="00245099"/>
    <w:rsid w:val="0025056F"/>
    <w:rsid w:val="00251194"/>
    <w:rsid w:val="002518EC"/>
    <w:rsid w:val="002522D7"/>
    <w:rsid w:val="00253585"/>
    <w:rsid w:val="00254C0C"/>
    <w:rsid w:val="002554AA"/>
    <w:rsid w:val="002579BF"/>
    <w:rsid w:val="0026436F"/>
    <w:rsid w:val="0027060B"/>
    <w:rsid w:val="002710BE"/>
    <w:rsid w:val="00273F8D"/>
    <w:rsid w:val="00291C4C"/>
    <w:rsid w:val="002A373D"/>
    <w:rsid w:val="002A4B24"/>
    <w:rsid w:val="002A561F"/>
    <w:rsid w:val="002A5CFD"/>
    <w:rsid w:val="002A6BEF"/>
    <w:rsid w:val="002B687E"/>
    <w:rsid w:val="002B7D77"/>
    <w:rsid w:val="002C248A"/>
    <w:rsid w:val="002D5C1D"/>
    <w:rsid w:val="002D7128"/>
    <w:rsid w:val="002E4E9D"/>
    <w:rsid w:val="002F4AA7"/>
    <w:rsid w:val="00301CF9"/>
    <w:rsid w:val="0030694B"/>
    <w:rsid w:val="00312DC5"/>
    <w:rsid w:val="00313464"/>
    <w:rsid w:val="003140FF"/>
    <w:rsid w:val="003147F4"/>
    <w:rsid w:val="00320275"/>
    <w:rsid w:val="00327EC5"/>
    <w:rsid w:val="00330431"/>
    <w:rsid w:val="00330458"/>
    <w:rsid w:val="00332975"/>
    <w:rsid w:val="003333F1"/>
    <w:rsid w:val="003337F5"/>
    <w:rsid w:val="00333B7E"/>
    <w:rsid w:val="00333D66"/>
    <w:rsid w:val="0033488E"/>
    <w:rsid w:val="003417B9"/>
    <w:rsid w:val="003428C7"/>
    <w:rsid w:val="0036052A"/>
    <w:rsid w:val="00360BAE"/>
    <w:rsid w:val="00364109"/>
    <w:rsid w:val="00372DC3"/>
    <w:rsid w:val="0037621E"/>
    <w:rsid w:val="00377462"/>
    <w:rsid w:val="00384A53"/>
    <w:rsid w:val="003904CC"/>
    <w:rsid w:val="0039240E"/>
    <w:rsid w:val="003949DD"/>
    <w:rsid w:val="00397B42"/>
    <w:rsid w:val="003A0518"/>
    <w:rsid w:val="003C60F7"/>
    <w:rsid w:val="003C7C68"/>
    <w:rsid w:val="003D0BF5"/>
    <w:rsid w:val="003D5585"/>
    <w:rsid w:val="003D67AA"/>
    <w:rsid w:val="003D7303"/>
    <w:rsid w:val="003D74CF"/>
    <w:rsid w:val="003E18AF"/>
    <w:rsid w:val="003E3E40"/>
    <w:rsid w:val="003E4321"/>
    <w:rsid w:val="003E4C0A"/>
    <w:rsid w:val="004059A6"/>
    <w:rsid w:val="00406D75"/>
    <w:rsid w:val="00407831"/>
    <w:rsid w:val="004139B0"/>
    <w:rsid w:val="004139CD"/>
    <w:rsid w:val="00422042"/>
    <w:rsid w:val="00424E61"/>
    <w:rsid w:val="00432AC4"/>
    <w:rsid w:val="00435462"/>
    <w:rsid w:val="0043659C"/>
    <w:rsid w:val="004435D4"/>
    <w:rsid w:val="004465FC"/>
    <w:rsid w:val="00446846"/>
    <w:rsid w:val="00446E6C"/>
    <w:rsid w:val="00450C65"/>
    <w:rsid w:val="0045118A"/>
    <w:rsid w:val="00451E7C"/>
    <w:rsid w:val="00455DD4"/>
    <w:rsid w:val="00457D3D"/>
    <w:rsid w:val="00457F0C"/>
    <w:rsid w:val="0046279F"/>
    <w:rsid w:val="004679F7"/>
    <w:rsid w:val="0047262F"/>
    <w:rsid w:val="00475295"/>
    <w:rsid w:val="00476E7F"/>
    <w:rsid w:val="004818ED"/>
    <w:rsid w:val="00491237"/>
    <w:rsid w:val="00491A56"/>
    <w:rsid w:val="00495E03"/>
    <w:rsid w:val="00496F0F"/>
    <w:rsid w:val="004A2CF8"/>
    <w:rsid w:val="004A37ED"/>
    <w:rsid w:val="004A4937"/>
    <w:rsid w:val="004B1278"/>
    <w:rsid w:val="004B4D11"/>
    <w:rsid w:val="004B5CF5"/>
    <w:rsid w:val="004B6736"/>
    <w:rsid w:val="004B6908"/>
    <w:rsid w:val="004C0AB6"/>
    <w:rsid w:val="004C3BAC"/>
    <w:rsid w:val="004C50ED"/>
    <w:rsid w:val="004C7FB1"/>
    <w:rsid w:val="004E028D"/>
    <w:rsid w:val="004E1635"/>
    <w:rsid w:val="004E36AE"/>
    <w:rsid w:val="004E3AC8"/>
    <w:rsid w:val="004F274C"/>
    <w:rsid w:val="004F3944"/>
    <w:rsid w:val="004F4065"/>
    <w:rsid w:val="004F431A"/>
    <w:rsid w:val="004F6670"/>
    <w:rsid w:val="004F75E3"/>
    <w:rsid w:val="00506380"/>
    <w:rsid w:val="00510221"/>
    <w:rsid w:val="005103C9"/>
    <w:rsid w:val="00513D19"/>
    <w:rsid w:val="005170E3"/>
    <w:rsid w:val="00532501"/>
    <w:rsid w:val="00534A30"/>
    <w:rsid w:val="0053779C"/>
    <w:rsid w:val="00537CBF"/>
    <w:rsid w:val="005457E9"/>
    <w:rsid w:val="00546DB6"/>
    <w:rsid w:val="005524D0"/>
    <w:rsid w:val="00553FA8"/>
    <w:rsid w:val="0055697D"/>
    <w:rsid w:val="005613F7"/>
    <w:rsid w:val="0057467D"/>
    <w:rsid w:val="00582A26"/>
    <w:rsid w:val="005A0902"/>
    <w:rsid w:val="005A21D3"/>
    <w:rsid w:val="005A34D8"/>
    <w:rsid w:val="005A722A"/>
    <w:rsid w:val="005A77E0"/>
    <w:rsid w:val="005B250C"/>
    <w:rsid w:val="005C0D54"/>
    <w:rsid w:val="005C41A6"/>
    <w:rsid w:val="005C4C8E"/>
    <w:rsid w:val="005D006C"/>
    <w:rsid w:val="005D0DB5"/>
    <w:rsid w:val="005D3F74"/>
    <w:rsid w:val="005D41D6"/>
    <w:rsid w:val="005D6C0A"/>
    <w:rsid w:val="005E1205"/>
    <w:rsid w:val="005E16E7"/>
    <w:rsid w:val="005E2868"/>
    <w:rsid w:val="005E49F2"/>
    <w:rsid w:val="005E55A5"/>
    <w:rsid w:val="00610904"/>
    <w:rsid w:val="0061247D"/>
    <w:rsid w:val="00613843"/>
    <w:rsid w:val="006144A6"/>
    <w:rsid w:val="006163E4"/>
    <w:rsid w:val="006177A7"/>
    <w:rsid w:val="00630557"/>
    <w:rsid w:val="00632057"/>
    <w:rsid w:val="006329AB"/>
    <w:rsid w:val="00632F6F"/>
    <w:rsid w:val="00634489"/>
    <w:rsid w:val="006348DE"/>
    <w:rsid w:val="00634E03"/>
    <w:rsid w:val="0064098D"/>
    <w:rsid w:val="00643B10"/>
    <w:rsid w:val="006448F0"/>
    <w:rsid w:val="00644CED"/>
    <w:rsid w:val="006471F4"/>
    <w:rsid w:val="0066421E"/>
    <w:rsid w:val="006707DE"/>
    <w:rsid w:val="00673141"/>
    <w:rsid w:val="00673BB8"/>
    <w:rsid w:val="00675DAC"/>
    <w:rsid w:val="006801AA"/>
    <w:rsid w:val="00680E5F"/>
    <w:rsid w:val="00682E84"/>
    <w:rsid w:val="00683D4B"/>
    <w:rsid w:val="00684FAC"/>
    <w:rsid w:val="006A3D71"/>
    <w:rsid w:val="006A5E72"/>
    <w:rsid w:val="006A6124"/>
    <w:rsid w:val="006A73A3"/>
    <w:rsid w:val="006D6C6F"/>
    <w:rsid w:val="006E1BE4"/>
    <w:rsid w:val="006E21D4"/>
    <w:rsid w:val="006F2634"/>
    <w:rsid w:val="00703523"/>
    <w:rsid w:val="0070679D"/>
    <w:rsid w:val="007077AB"/>
    <w:rsid w:val="00725160"/>
    <w:rsid w:val="007346F9"/>
    <w:rsid w:val="00734A28"/>
    <w:rsid w:val="00741CFB"/>
    <w:rsid w:val="0074568C"/>
    <w:rsid w:val="00747BC7"/>
    <w:rsid w:val="0075272E"/>
    <w:rsid w:val="007533B2"/>
    <w:rsid w:val="00754AA1"/>
    <w:rsid w:val="00773512"/>
    <w:rsid w:val="007748F4"/>
    <w:rsid w:val="00777B52"/>
    <w:rsid w:val="007827AF"/>
    <w:rsid w:val="00791871"/>
    <w:rsid w:val="007932B6"/>
    <w:rsid w:val="00794C3E"/>
    <w:rsid w:val="00794DBB"/>
    <w:rsid w:val="00795F7C"/>
    <w:rsid w:val="007A171E"/>
    <w:rsid w:val="007B453C"/>
    <w:rsid w:val="007B63B0"/>
    <w:rsid w:val="007C1D64"/>
    <w:rsid w:val="007D7C83"/>
    <w:rsid w:val="007E4873"/>
    <w:rsid w:val="007E6BF6"/>
    <w:rsid w:val="007E70C0"/>
    <w:rsid w:val="007F1927"/>
    <w:rsid w:val="007F5CF8"/>
    <w:rsid w:val="0080679E"/>
    <w:rsid w:val="008111BE"/>
    <w:rsid w:val="008117C7"/>
    <w:rsid w:val="00812298"/>
    <w:rsid w:val="00813CB9"/>
    <w:rsid w:val="008216AC"/>
    <w:rsid w:val="00823679"/>
    <w:rsid w:val="00823828"/>
    <w:rsid w:val="00827936"/>
    <w:rsid w:val="00832E1F"/>
    <w:rsid w:val="00836243"/>
    <w:rsid w:val="008433DE"/>
    <w:rsid w:val="00844D06"/>
    <w:rsid w:val="00847A87"/>
    <w:rsid w:val="008532CC"/>
    <w:rsid w:val="00857990"/>
    <w:rsid w:val="00864987"/>
    <w:rsid w:val="00881D0D"/>
    <w:rsid w:val="00890EF9"/>
    <w:rsid w:val="00896CFF"/>
    <w:rsid w:val="008A02AE"/>
    <w:rsid w:val="008A0D86"/>
    <w:rsid w:val="008A20D2"/>
    <w:rsid w:val="008B10ED"/>
    <w:rsid w:val="008B441C"/>
    <w:rsid w:val="008B480B"/>
    <w:rsid w:val="008B7C44"/>
    <w:rsid w:val="008D28A5"/>
    <w:rsid w:val="008D56B3"/>
    <w:rsid w:val="008D571E"/>
    <w:rsid w:val="008D6110"/>
    <w:rsid w:val="008D7251"/>
    <w:rsid w:val="008E124A"/>
    <w:rsid w:val="008E125F"/>
    <w:rsid w:val="008E2F82"/>
    <w:rsid w:val="008F2D12"/>
    <w:rsid w:val="008F4665"/>
    <w:rsid w:val="008F6011"/>
    <w:rsid w:val="008F67C2"/>
    <w:rsid w:val="009029BA"/>
    <w:rsid w:val="009030CC"/>
    <w:rsid w:val="00910F81"/>
    <w:rsid w:val="00915259"/>
    <w:rsid w:val="00915737"/>
    <w:rsid w:val="00916531"/>
    <w:rsid w:val="00923B23"/>
    <w:rsid w:val="00923B64"/>
    <w:rsid w:val="00924733"/>
    <w:rsid w:val="00935477"/>
    <w:rsid w:val="00935CE5"/>
    <w:rsid w:val="0094075E"/>
    <w:rsid w:val="00940975"/>
    <w:rsid w:val="00941C39"/>
    <w:rsid w:val="00947F92"/>
    <w:rsid w:val="00954B37"/>
    <w:rsid w:val="00956D73"/>
    <w:rsid w:val="00957AE1"/>
    <w:rsid w:val="00957E19"/>
    <w:rsid w:val="009755FE"/>
    <w:rsid w:val="00982A0F"/>
    <w:rsid w:val="0098461D"/>
    <w:rsid w:val="009852A9"/>
    <w:rsid w:val="009A3C35"/>
    <w:rsid w:val="009A6B7C"/>
    <w:rsid w:val="009B4BDA"/>
    <w:rsid w:val="009B575F"/>
    <w:rsid w:val="009B58CC"/>
    <w:rsid w:val="009B7E59"/>
    <w:rsid w:val="009C6381"/>
    <w:rsid w:val="009D600E"/>
    <w:rsid w:val="009D7E2D"/>
    <w:rsid w:val="009E52D9"/>
    <w:rsid w:val="009E6439"/>
    <w:rsid w:val="009F0011"/>
    <w:rsid w:val="009F2021"/>
    <w:rsid w:val="009F7CA6"/>
    <w:rsid w:val="00A00A41"/>
    <w:rsid w:val="00A0172D"/>
    <w:rsid w:val="00A05EA0"/>
    <w:rsid w:val="00A05F97"/>
    <w:rsid w:val="00A11B58"/>
    <w:rsid w:val="00A21311"/>
    <w:rsid w:val="00A30E51"/>
    <w:rsid w:val="00A31228"/>
    <w:rsid w:val="00A34DBA"/>
    <w:rsid w:val="00A35BCA"/>
    <w:rsid w:val="00A37B6F"/>
    <w:rsid w:val="00A406C7"/>
    <w:rsid w:val="00A42A90"/>
    <w:rsid w:val="00A70F9B"/>
    <w:rsid w:val="00A75E76"/>
    <w:rsid w:val="00A82252"/>
    <w:rsid w:val="00A873A4"/>
    <w:rsid w:val="00A931B2"/>
    <w:rsid w:val="00A9459A"/>
    <w:rsid w:val="00AA53BD"/>
    <w:rsid w:val="00AA64A4"/>
    <w:rsid w:val="00AB04E6"/>
    <w:rsid w:val="00AB0964"/>
    <w:rsid w:val="00AB3011"/>
    <w:rsid w:val="00AC13CC"/>
    <w:rsid w:val="00AC7915"/>
    <w:rsid w:val="00AC7E8F"/>
    <w:rsid w:val="00AD0B88"/>
    <w:rsid w:val="00AD5CFE"/>
    <w:rsid w:val="00AE5F13"/>
    <w:rsid w:val="00AE6BE1"/>
    <w:rsid w:val="00AF3C7C"/>
    <w:rsid w:val="00B03CDE"/>
    <w:rsid w:val="00B0522B"/>
    <w:rsid w:val="00B12612"/>
    <w:rsid w:val="00B16A4B"/>
    <w:rsid w:val="00B2004D"/>
    <w:rsid w:val="00B20147"/>
    <w:rsid w:val="00B23061"/>
    <w:rsid w:val="00B332A5"/>
    <w:rsid w:val="00B35BE1"/>
    <w:rsid w:val="00B403AC"/>
    <w:rsid w:val="00B453B3"/>
    <w:rsid w:val="00B501B4"/>
    <w:rsid w:val="00B51668"/>
    <w:rsid w:val="00B554C4"/>
    <w:rsid w:val="00B56387"/>
    <w:rsid w:val="00B605F9"/>
    <w:rsid w:val="00B61025"/>
    <w:rsid w:val="00B91172"/>
    <w:rsid w:val="00B91AE4"/>
    <w:rsid w:val="00B9409B"/>
    <w:rsid w:val="00BA6F2C"/>
    <w:rsid w:val="00BB0AE0"/>
    <w:rsid w:val="00BB4E3A"/>
    <w:rsid w:val="00BB5C91"/>
    <w:rsid w:val="00BD2303"/>
    <w:rsid w:val="00BD4DA4"/>
    <w:rsid w:val="00BE23C9"/>
    <w:rsid w:val="00BF530D"/>
    <w:rsid w:val="00BF5AA1"/>
    <w:rsid w:val="00C006AD"/>
    <w:rsid w:val="00C06033"/>
    <w:rsid w:val="00C06CB0"/>
    <w:rsid w:val="00C13F15"/>
    <w:rsid w:val="00C15B82"/>
    <w:rsid w:val="00C219D3"/>
    <w:rsid w:val="00C27B82"/>
    <w:rsid w:val="00C33F8E"/>
    <w:rsid w:val="00C3468A"/>
    <w:rsid w:val="00C354C7"/>
    <w:rsid w:val="00C35AB5"/>
    <w:rsid w:val="00C42327"/>
    <w:rsid w:val="00C47DFF"/>
    <w:rsid w:val="00C542A4"/>
    <w:rsid w:val="00C607E8"/>
    <w:rsid w:val="00C734C2"/>
    <w:rsid w:val="00C7372E"/>
    <w:rsid w:val="00C742D6"/>
    <w:rsid w:val="00C95D1E"/>
    <w:rsid w:val="00CA0FC2"/>
    <w:rsid w:val="00CA29A3"/>
    <w:rsid w:val="00CA36FE"/>
    <w:rsid w:val="00CA55E5"/>
    <w:rsid w:val="00CA7E41"/>
    <w:rsid w:val="00CB5BF9"/>
    <w:rsid w:val="00CB75D8"/>
    <w:rsid w:val="00CC36ED"/>
    <w:rsid w:val="00CC5193"/>
    <w:rsid w:val="00CE50B6"/>
    <w:rsid w:val="00CE6EF6"/>
    <w:rsid w:val="00CF154F"/>
    <w:rsid w:val="00CF540E"/>
    <w:rsid w:val="00D01197"/>
    <w:rsid w:val="00D04940"/>
    <w:rsid w:val="00D0537D"/>
    <w:rsid w:val="00D116B8"/>
    <w:rsid w:val="00D1209A"/>
    <w:rsid w:val="00D140E7"/>
    <w:rsid w:val="00D14C83"/>
    <w:rsid w:val="00D167BA"/>
    <w:rsid w:val="00D20BFE"/>
    <w:rsid w:val="00D21E57"/>
    <w:rsid w:val="00D23810"/>
    <w:rsid w:val="00D24E7C"/>
    <w:rsid w:val="00D40E95"/>
    <w:rsid w:val="00D41981"/>
    <w:rsid w:val="00D45EF0"/>
    <w:rsid w:val="00D46C93"/>
    <w:rsid w:val="00D60F3B"/>
    <w:rsid w:val="00D64734"/>
    <w:rsid w:val="00D93331"/>
    <w:rsid w:val="00DA1261"/>
    <w:rsid w:val="00DA285B"/>
    <w:rsid w:val="00DA2CB2"/>
    <w:rsid w:val="00DA3429"/>
    <w:rsid w:val="00DA47D6"/>
    <w:rsid w:val="00DA5C44"/>
    <w:rsid w:val="00DA71DB"/>
    <w:rsid w:val="00DB1CDA"/>
    <w:rsid w:val="00DB39BB"/>
    <w:rsid w:val="00DB6498"/>
    <w:rsid w:val="00DB7D0E"/>
    <w:rsid w:val="00DC0F3F"/>
    <w:rsid w:val="00DC12E8"/>
    <w:rsid w:val="00DC13C1"/>
    <w:rsid w:val="00DC3BDE"/>
    <w:rsid w:val="00DD17FD"/>
    <w:rsid w:val="00DD4100"/>
    <w:rsid w:val="00DD5CF5"/>
    <w:rsid w:val="00DE3744"/>
    <w:rsid w:val="00DE3AFB"/>
    <w:rsid w:val="00DE466A"/>
    <w:rsid w:val="00DE7A5F"/>
    <w:rsid w:val="00DF32E4"/>
    <w:rsid w:val="00DF6A15"/>
    <w:rsid w:val="00DF78D3"/>
    <w:rsid w:val="00DF7DC2"/>
    <w:rsid w:val="00E1126E"/>
    <w:rsid w:val="00E16B7B"/>
    <w:rsid w:val="00E20B59"/>
    <w:rsid w:val="00E23619"/>
    <w:rsid w:val="00E24E0F"/>
    <w:rsid w:val="00E35430"/>
    <w:rsid w:val="00E53593"/>
    <w:rsid w:val="00E5365E"/>
    <w:rsid w:val="00E54939"/>
    <w:rsid w:val="00E57954"/>
    <w:rsid w:val="00E60675"/>
    <w:rsid w:val="00E61045"/>
    <w:rsid w:val="00E641E9"/>
    <w:rsid w:val="00E64DD2"/>
    <w:rsid w:val="00E72B07"/>
    <w:rsid w:val="00E76BF7"/>
    <w:rsid w:val="00E81CDE"/>
    <w:rsid w:val="00E84674"/>
    <w:rsid w:val="00EA33CF"/>
    <w:rsid w:val="00EA699B"/>
    <w:rsid w:val="00EB235C"/>
    <w:rsid w:val="00EB396A"/>
    <w:rsid w:val="00EB44DC"/>
    <w:rsid w:val="00EB6C51"/>
    <w:rsid w:val="00EC234E"/>
    <w:rsid w:val="00EC3BD4"/>
    <w:rsid w:val="00EC5E5F"/>
    <w:rsid w:val="00ED5F45"/>
    <w:rsid w:val="00EE040E"/>
    <w:rsid w:val="00EE0615"/>
    <w:rsid w:val="00EE08A9"/>
    <w:rsid w:val="00EF0EDE"/>
    <w:rsid w:val="00EF220F"/>
    <w:rsid w:val="00EF2A81"/>
    <w:rsid w:val="00EF3365"/>
    <w:rsid w:val="00EF3572"/>
    <w:rsid w:val="00EF37E3"/>
    <w:rsid w:val="00F05F4A"/>
    <w:rsid w:val="00F1055F"/>
    <w:rsid w:val="00F11EDE"/>
    <w:rsid w:val="00F15BEE"/>
    <w:rsid w:val="00F24B12"/>
    <w:rsid w:val="00F3650A"/>
    <w:rsid w:val="00F46226"/>
    <w:rsid w:val="00F465BB"/>
    <w:rsid w:val="00F5499B"/>
    <w:rsid w:val="00F57421"/>
    <w:rsid w:val="00F60B2D"/>
    <w:rsid w:val="00F615B4"/>
    <w:rsid w:val="00F64396"/>
    <w:rsid w:val="00F6675C"/>
    <w:rsid w:val="00F66A8E"/>
    <w:rsid w:val="00F7574D"/>
    <w:rsid w:val="00F80FD6"/>
    <w:rsid w:val="00F93A48"/>
    <w:rsid w:val="00FA6F84"/>
    <w:rsid w:val="00FB11CA"/>
    <w:rsid w:val="00FC1FD6"/>
    <w:rsid w:val="00FD5446"/>
    <w:rsid w:val="00FD556A"/>
    <w:rsid w:val="00FD611B"/>
    <w:rsid w:val="00FE0E0F"/>
    <w:rsid w:val="00FE0FA8"/>
    <w:rsid w:val="00FE2FC4"/>
    <w:rsid w:val="00FF050F"/>
    <w:rsid w:val="00FF2AD6"/>
    <w:rsid w:val="00FF3914"/>
    <w:rsid w:val="00FF4948"/>
    <w:rsid w:val="00FF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8E"/>
  </w:style>
  <w:style w:type="paragraph" w:styleId="Ttulo1">
    <w:name w:val="heading 1"/>
    <w:basedOn w:val="Normal"/>
    <w:next w:val="Normal"/>
    <w:link w:val="Ttulo1Car"/>
    <w:uiPriority w:val="9"/>
    <w:qFormat/>
    <w:rsid w:val="00EE08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08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0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B75D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75D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B75D8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EE0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EE08A9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EE08A9"/>
    <w:pPr>
      <w:spacing w:after="100"/>
      <w:ind w:left="220"/>
    </w:pPr>
    <w:rPr>
      <w:rFonts w:eastAsiaTheme="minorEastAsia"/>
      <w:lang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EE08A9"/>
    <w:pPr>
      <w:spacing w:after="100"/>
    </w:pPr>
    <w:rPr>
      <w:rFonts w:eastAsiaTheme="minorEastAsia"/>
      <w:lang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E08A9"/>
    <w:pPr>
      <w:spacing w:after="100"/>
      <w:ind w:left="440"/>
    </w:pPr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08A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0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795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F7C"/>
  </w:style>
  <w:style w:type="paragraph" w:styleId="Piedepgina">
    <w:name w:val="footer"/>
    <w:basedOn w:val="Normal"/>
    <w:link w:val="PiedepginaCar"/>
    <w:uiPriority w:val="99"/>
    <w:unhideWhenUsed/>
    <w:rsid w:val="00795F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F7C"/>
  </w:style>
  <w:style w:type="character" w:styleId="Refdecomentario">
    <w:name w:val="annotation reference"/>
    <w:basedOn w:val="Fuentedeprrafopredeter"/>
    <w:uiPriority w:val="99"/>
    <w:semiHidden/>
    <w:unhideWhenUsed/>
    <w:rsid w:val="002E4E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E4E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4E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4E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4E9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6546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E36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3F0D004227E24C99867AB7E9B98B99" ma:contentTypeVersion="18" ma:contentTypeDescription="Crear nuevo documento." ma:contentTypeScope="" ma:versionID="5ae2b036f26680494d4136aeb409cb71">
  <xsd:schema xmlns:xsd="http://www.w3.org/2001/XMLSchema" xmlns:xs="http://www.w3.org/2001/XMLSchema" xmlns:p="http://schemas.microsoft.com/office/2006/metadata/properties" xmlns:ns2="72a6d42e-c741-46a8-b0cd-74e32e23a770" xmlns:ns3="00ebdcb9-fa78-4a01-aa7d-c0fcb750f293" targetNamespace="http://schemas.microsoft.com/office/2006/metadata/properties" ma:root="true" ma:fieldsID="d3bb68f34f9b5096a8f30723d8348854" ns2:_="" ns3:_="">
    <xsd:import namespace="72a6d42e-c741-46a8-b0cd-74e32e23a770"/>
    <xsd:import namespace="00ebdcb9-fa78-4a01-aa7d-c0fcb750f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6d42e-c741-46a8-b0cd-74e32e23a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c42348-db29-4e0c-a638-a876961e4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bdcb9-fa78-4a01-aa7d-c0fcb750f29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0e236e-47d1-47b0-9e6a-5be110ed3274}" ma:internalName="TaxCatchAll" ma:showField="CatchAllData" ma:web="00ebdcb9-fa78-4a01-aa7d-c0fcb750f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bdcb9-fa78-4a01-aa7d-c0fcb750f293" xsi:nil="true"/>
    <lcf76f155ced4ddcb4097134ff3c332f xmlns="72a6d42e-c741-46a8-b0cd-74e32e23a77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F011-AE9C-4970-9ECE-4CD7AFCB2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6d42e-c741-46a8-b0cd-74e32e23a770"/>
    <ds:schemaRef ds:uri="00ebdcb9-fa78-4a01-aa7d-c0fcb750f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ABB0F-94A1-433F-9F5D-E861A7920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8BF48-EB08-4D54-8BEE-A40E6F6F1BB7}">
  <ds:schemaRefs>
    <ds:schemaRef ds:uri="http://schemas.microsoft.com/office/2006/metadata/properties"/>
    <ds:schemaRef ds:uri="http://schemas.microsoft.com/office/infopath/2007/PartnerControls"/>
    <ds:schemaRef ds:uri="00ebdcb9-fa78-4a01-aa7d-c0fcb750f293"/>
    <ds:schemaRef ds:uri="72a6d42e-c741-46a8-b0cd-74e32e23a770"/>
  </ds:schemaRefs>
</ds:datastoreItem>
</file>

<file path=customXml/itemProps4.xml><?xml version="1.0" encoding="utf-8"?>
<ds:datastoreItem xmlns:ds="http://schemas.openxmlformats.org/officeDocument/2006/customXml" ds:itemID="{080DCB46-7B93-4AA6-8BF0-B69D200E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4</Pages>
  <Words>2421</Words>
  <Characters>13656</Characters>
  <Application>Microsoft Office Word</Application>
  <DocSecurity>0</DocSecurity>
  <Lines>390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Hernando</dc:creator>
  <cp:keywords/>
  <dc:description/>
  <cp:lastModifiedBy>Alberto Puig Higuera</cp:lastModifiedBy>
  <cp:revision>344</cp:revision>
  <dcterms:created xsi:type="dcterms:W3CDTF">2024-08-22T17:06:00Z</dcterms:created>
  <dcterms:modified xsi:type="dcterms:W3CDTF">2025-02-25T10:04:00Z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0x010100303F0D004227E24C99867AB7E9B98B99</vt:lpwstr>
  </property>
  <property fmtid="{D5CDD505-2E9C-101B-9397-08002B2CF9AE}" pid="3" name="MediaServiceImageTags">
    <vt:lpwstr/>
  </property>
</Properties>
</file>