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212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795F7C" w:rsidRPr="00820223" w:rsidTr="00547ED4">
        <w:trPr>
          <w:trHeight w:val="312"/>
        </w:trPr>
        <w:tc>
          <w:tcPr>
            <w:tcW w:w="10773" w:type="dxa"/>
            <w:shd w:val="clear" w:color="auto" w:fill="31849B" w:themeFill="accent5" w:themeFillShade="BF"/>
            <w:noWrap/>
            <w:vAlign w:val="bottom"/>
          </w:tcPr>
          <w:p w:rsidR="00795F7C" w:rsidRDefault="004F0421" w:rsidP="00590B49">
            <w:pPr>
              <w:spacing w:after="0"/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 xml:space="preserve">FICHA </w:t>
            </w:r>
            <w:r w:rsidR="00F53115">
              <w:rPr>
                <w:b/>
                <w:color w:val="FFFFFF" w:themeColor="background1"/>
                <w:sz w:val="32"/>
              </w:rPr>
              <w:t xml:space="preserve">DE </w:t>
            </w:r>
            <w:r>
              <w:rPr>
                <w:b/>
                <w:color w:val="FFFFFF" w:themeColor="background1"/>
                <w:sz w:val="32"/>
              </w:rPr>
              <w:t xml:space="preserve">ACCIONES </w:t>
            </w:r>
            <w:r w:rsidR="00F53115">
              <w:rPr>
                <w:b/>
                <w:color w:val="FFFFFF" w:themeColor="background1"/>
                <w:sz w:val="32"/>
              </w:rPr>
              <w:t>TIPO C</w:t>
            </w:r>
            <w:r w:rsidR="00A414DD">
              <w:rPr>
                <w:b/>
                <w:color w:val="FFFFFF" w:themeColor="background1"/>
                <w:sz w:val="32"/>
              </w:rPr>
              <w:t xml:space="preserve"> </w:t>
            </w:r>
          </w:p>
          <w:p w:rsidR="00795F7C" w:rsidRPr="00795F7C" w:rsidRDefault="00795F7C" w:rsidP="00590B49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Acciones </w:t>
            </w:r>
            <w:r w:rsidR="00A414DD">
              <w:rPr>
                <w:b/>
                <w:color w:val="FFFFFF" w:themeColor="background1"/>
              </w:rPr>
              <w:t>transversales (</w:t>
            </w:r>
            <w:r w:rsidR="008A2ADA" w:rsidRPr="001826AA">
              <w:rPr>
                <w:b/>
                <w:color w:val="FFFFFF" w:themeColor="background1"/>
              </w:rPr>
              <w:t>artículo</w:t>
            </w:r>
            <w:r w:rsidR="00A414DD" w:rsidRPr="001826AA">
              <w:rPr>
                <w:b/>
                <w:color w:val="FFFFFF" w:themeColor="background1"/>
              </w:rPr>
              <w:t xml:space="preserve"> </w:t>
            </w:r>
            <w:r w:rsidR="004D1755">
              <w:rPr>
                <w:b/>
                <w:color w:val="FFFFFF" w:themeColor="background1"/>
              </w:rPr>
              <w:t>7</w:t>
            </w:r>
            <w:r w:rsidR="008A2ADA" w:rsidRPr="001826AA">
              <w:rPr>
                <w:b/>
                <w:color w:val="FFFFFF" w:themeColor="background1"/>
              </w:rPr>
              <w:t>.2.c</w:t>
            </w:r>
            <w:r w:rsidR="00A414DD" w:rsidRPr="001826AA">
              <w:rPr>
                <w:b/>
                <w:color w:val="FFFFFF" w:themeColor="background1"/>
              </w:rPr>
              <w:t xml:space="preserve"> de</w:t>
            </w:r>
            <w:r w:rsidR="00A414DD">
              <w:rPr>
                <w:b/>
                <w:color w:val="FFFFFF" w:themeColor="background1"/>
              </w:rPr>
              <w:t xml:space="preserve"> la convocatoria)</w:t>
            </w:r>
          </w:p>
        </w:tc>
      </w:tr>
      <w:tr w:rsidR="00795F7C" w:rsidRPr="00BC3C7B" w:rsidTr="00547ED4">
        <w:trPr>
          <w:trHeight w:val="290"/>
        </w:trPr>
        <w:tc>
          <w:tcPr>
            <w:tcW w:w="10773" w:type="dxa"/>
            <w:shd w:val="clear" w:color="auto" w:fill="auto"/>
            <w:noWrap/>
            <w:vAlign w:val="center"/>
          </w:tcPr>
          <w:p w:rsidR="009E2396" w:rsidRPr="00266FF7" w:rsidRDefault="009E2396" w:rsidP="00194A42">
            <w:pPr>
              <w:spacing w:after="120" w:line="240" w:lineRule="auto"/>
              <w:jc w:val="both"/>
              <w:rPr>
                <w:i/>
                <w:sz w:val="20"/>
                <w:szCs w:val="20"/>
              </w:rPr>
            </w:pPr>
            <w:r w:rsidRPr="00266FF7">
              <w:rPr>
                <w:i/>
                <w:sz w:val="20"/>
                <w:szCs w:val="20"/>
              </w:rPr>
              <w:t>Estas acciones se codificarán como C1 (Plan de gobernanza y participación), C2 (Plan de comunicación y sensibilización), y C3 (Plan de medición y seguimiento de indicadores</w:t>
            </w:r>
            <w:r w:rsidR="00385EE4">
              <w:rPr>
                <w:i/>
                <w:sz w:val="20"/>
                <w:szCs w:val="20"/>
              </w:rPr>
              <w:t>)</w:t>
            </w:r>
            <w:r w:rsidR="00266FF7" w:rsidRPr="00266FF7">
              <w:rPr>
                <w:i/>
                <w:sz w:val="20"/>
                <w:szCs w:val="20"/>
              </w:rPr>
              <w:t xml:space="preserve">. Las tres acciones Tipo C son obligatorias y se deben ajustar a lo establecido en el artículo </w:t>
            </w:r>
            <w:r w:rsidR="004D1755">
              <w:rPr>
                <w:i/>
                <w:sz w:val="20"/>
                <w:szCs w:val="20"/>
              </w:rPr>
              <w:t>7</w:t>
            </w:r>
            <w:r w:rsidR="00266FF7" w:rsidRPr="00266FF7">
              <w:rPr>
                <w:i/>
                <w:sz w:val="20"/>
                <w:szCs w:val="20"/>
              </w:rPr>
              <w:t>.2.c) de la Convocatoria</w:t>
            </w:r>
          </w:p>
          <w:p w:rsidR="004D1755" w:rsidRDefault="00795F7C" w:rsidP="00194A42">
            <w:pPr>
              <w:spacing w:after="120" w:line="240" w:lineRule="auto"/>
              <w:jc w:val="both"/>
              <w:rPr>
                <w:i/>
                <w:sz w:val="20"/>
                <w:szCs w:val="20"/>
              </w:rPr>
            </w:pPr>
            <w:r w:rsidRPr="00266FF7">
              <w:rPr>
                <w:i/>
                <w:sz w:val="20"/>
                <w:szCs w:val="20"/>
              </w:rPr>
              <w:t>Se limita la extensión de las fichas</w:t>
            </w:r>
            <w:r w:rsidR="00385EE4">
              <w:rPr>
                <w:i/>
                <w:sz w:val="20"/>
                <w:szCs w:val="20"/>
              </w:rPr>
              <w:t xml:space="preserve"> (C1, C2 y C3)</w:t>
            </w:r>
            <w:r w:rsidRPr="00266FF7">
              <w:rPr>
                <w:i/>
                <w:sz w:val="20"/>
                <w:szCs w:val="20"/>
              </w:rPr>
              <w:t xml:space="preserve"> a un máximo de 3 páginas por </w:t>
            </w:r>
            <w:r w:rsidR="009E2396" w:rsidRPr="00266FF7">
              <w:rPr>
                <w:i/>
                <w:sz w:val="20"/>
                <w:szCs w:val="20"/>
              </w:rPr>
              <w:t>acción</w:t>
            </w:r>
            <w:r w:rsidR="004D1755">
              <w:rPr>
                <w:i/>
                <w:sz w:val="20"/>
                <w:szCs w:val="20"/>
              </w:rPr>
              <w:t>.</w:t>
            </w:r>
          </w:p>
          <w:p w:rsidR="00F53115" w:rsidRPr="00266FF7" w:rsidRDefault="00795F7C" w:rsidP="00F5311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266FF7">
              <w:rPr>
                <w:i/>
                <w:sz w:val="20"/>
                <w:szCs w:val="20"/>
              </w:rPr>
              <w:t>Tipo de letra Calibri, tamaño 1</w:t>
            </w:r>
            <w:r w:rsidR="00266FF7">
              <w:rPr>
                <w:i/>
                <w:sz w:val="20"/>
                <w:szCs w:val="20"/>
              </w:rPr>
              <w:t>0</w:t>
            </w:r>
            <w:r w:rsidRPr="00266FF7">
              <w:rPr>
                <w:i/>
                <w:sz w:val="20"/>
                <w:szCs w:val="20"/>
              </w:rPr>
              <w:t>, interlineado sencillo.</w:t>
            </w:r>
          </w:p>
        </w:tc>
      </w:tr>
    </w:tbl>
    <w:p w:rsidR="00F60B2D" w:rsidRDefault="00F60B2D">
      <w:pPr>
        <w:rPr>
          <w:sz w:val="8"/>
        </w:rPr>
      </w:pPr>
    </w:p>
    <w:p w:rsidR="004546E8" w:rsidRDefault="004546E8">
      <w:pPr>
        <w:rPr>
          <w:sz w:val="8"/>
        </w:rPr>
      </w:pPr>
      <w:r>
        <w:rPr>
          <w:sz w:val="8"/>
        </w:rPr>
        <w:br w:type="page"/>
      </w:r>
    </w:p>
    <w:tbl>
      <w:tblPr>
        <w:tblW w:w="10773" w:type="dxa"/>
        <w:tblInd w:w="250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/>
      </w:tblPr>
      <w:tblGrid>
        <w:gridCol w:w="2977"/>
        <w:gridCol w:w="1984"/>
        <w:gridCol w:w="5812"/>
      </w:tblGrid>
      <w:tr w:rsidR="004F0421" w:rsidRPr="00266FF7" w:rsidTr="00F53115">
        <w:trPr>
          <w:trHeight w:val="368"/>
        </w:trPr>
        <w:tc>
          <w:tcPr>
            <w:tcW w:w="10773" w:type="dxa"/>
            <w:gridSpan w:val="3"/>
            <w:shd w:val="clear" w:color="auto" w:fill="215868" w:themeFill="accent5" w:themeFillShade="80"/>
            <w:vAlign w:val="center"/>
          </w:tcPr>
          <w:p w:rsidR="004F0421" w:rsidRPr="00266FF7" w:rsidRDefault="007C1334" w:rsidP="00D829E8">
            <w:pPr>
              <w:spacing w:after="0"/>
              <w:jc w:val="center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6163550"/>
            <w:r w:rsidRPr="00A41343">
              <w:rPr>
                <w:rFonts w:eastAsia="Calibri" w:cstheme="minorHAnsi"/>
                <w:b/>
                <w:iCs/>
                <w:color w:val="FFFFFF" w:themeColor="background1"/>
              </w:rPr>
              <w:lastRenderedPageBreak/>
              <w:t>Plan</w:t>
            </w:r>
            <w:r w:rsidR="004F0421" w:rsidRPr="00A41343">
              <w:rPr>
                <w:rFonts w:eastAsia="Calibri" w:cstheme="minorHAnsi"/>
                <w:b/>
                <w:iCs/>
                <w:color w:val="FFFFFF" w:themeColor="background1"/>
              </w:rPr>
              <w:t xml:space="preserve"> de </w:t>
            </w:r>
            <w:r w:rsidRPr="00A41343">
              <w:rPr>
                <w:rFonts w:eastAsia="Calibri" w:cstheme="minorHAnsi"/>
                <w:b/>
                <w:iCs/>
                <w:color w:val="FFFFFF" w:themeColor="background1"/>
              </w:rPr>
              <w:t xml:space="preserve">gobernanza y participación </w:t>
            </w:r>
            <w:r w:rsidR="009E2396" w:rsidRPr="00A41343">
              <w:rPr>
                <w:rFonts w:eastAsia="Calibri" w:cstheme="minorHAnsi"/>
                <w:b/>
                <w:iCs/>
                <w:color w:val="FFFFFF" w:themeColor="background1"/>
              </w:rPr>
              <w:t>(C1)</w:t>
            </w:r>
          </w:p>
        </w:tc>
      </w:tr>
      <w:tr w:rsidR="00D829E8" w:rsidRPr="00266FF7" w:rsidTr="00D829E8">
        <w:trPr>
          <w:trHeight w:val="60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D829E8" w:rsidRPr="00D829E8" w:rsidRDefault="00D829E8" w:rsidP="00EE08A9">
            <w:pPr>
              <w:spacing w:after="0"/>
              <w:rPr>
                <w:rFonts w:eastAsia="Calibri" w:cstheme="minorHAnsi"/>
                <w:b/>
                <w:iCs/>
                <w:color w:val="FFFFFF" w:themeColor="background1"/>
                <w:sz w:val="10"/>
                <w:szCs w:val="10"/>
              </w:rPr>
            </w:pPr>
          </w:p>
        </w:tc>
      </w:tr>
      <w:tr w:rsidR="007B0A27" w:rsidRPr="00266FF7" w:rsidTr="00547ED4">
        <w:trPr>
          <w:trHeight w:val="268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7B0A27" w:rsidRPr="00266FF7" w:rsidRDefault="007B0A27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266FF7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Entidad coordinadora de la acción</w:t>
            </w:r>
            <w:r w:rsidR="00F53115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B8089F" w:rsidRPr="00266FF7" w:rsidTr="00F53115">
        <w:trPr>
          <w:trHeight w:val="405"/>
        </w:trPr>
        <w:tc>
          <w:tcPr>
            <w:tcW w:w="10773" w:type="dxa"/>
            <w:gridSpan w:val="3"/>
            <w:shd w:val="clear" w:color="auto" w:fill="auto"/>
          </w:tcPr>
          <w:p w:rsidR="00B8089F" w:rsidRPr="00266FF7" w:rsidRDefault="008811AA" w:rsidP="00A67584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Ayuntamiento de Andújar</w:t>
            </w:r>
          </w:p>
        </w:tc>
      </w:tr>
      <w:tr w:rsidR="00547ED4" w:rsidRPr="00266FF7" w:rsidTr="009632D5">
        <w:trPr>
          <w:trHeight w:val="334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547ED4" w:rsidRPr="00266FF7" w:rsidRDefault="00547ED4" w:rsidP="00547ED4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60779D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Entidades participantes en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(solo para agrupaciones)</w:t>
            </w:r>
            <w:r w:rsidR="00F53115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47ED4" w:rsidRPr="00266FF7" w:rsidTr="00F53115">
        <w:trPr>
          <w:trHeight w:val="374"/>
        </w:trPr>
        <w:tc>
          <w:tcPr>
            <w:tcW w:w="10773" w:type="dxa"/>
            <w:gridSpan w:val="3"/>
            <w:shd w:val="clear" w:color="auto" w:fill="auto"/>
          </w:tcPr>
          <w:p w:rsidR="00547ED4" w:rsidRPr="00266FF7" w:rsidRDefault="00547ED4" w:rsidP="009B1FAC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</w:p>
        </w:tc>
      </w:tr>
      <w:tr w:rsidR="00547ED4" w:rsidRPr="00266FF7" w:rsidTr="00547ED4">
        <w:trPr>
          <w:trHeight w:val="336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547ED4" w:rsidRPr="00266FF7" w:rsidRDefault="00547ED4" w:rsidP="00547ED4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A67584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Objetivo</w:t>
            </w:r>
            <w:r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/s</w:t>
            </w:r>
            <w:r w:rsidRPr="00A67584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 xml:space="preserve"> de la acción</w:t>
            </w:r>
            <w:r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 xml:space="preserve"> y síntesis del contexto en el que se desarrollará</w:t>
            </w:r>
            <w:r w:rsidR="00F53115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47ED4" w:rsidRPr="00266FF7" w:rsidTr="00F53115">
        <w:trPr>
          <w:trHeight w:val="342"/>
        </w:trPr>
        <w:tc>
          <w:tcPr>
            <w:tcW w:w="10773" w:type="dxa"/>
            <w:gridSpan w:val="3"/>
            <w:shd w:val="clear" w:color="auto" w:fill="auto"/>
          </w:tcPr>
          <w:p w:rsidR="00631715" w:rsidRDefault="00676040" w:rsidP="003D565A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El presente Plan de gobernanza y participación se </w:t>
            </w:r>
            <w:r w:rsidR="00C03D5D">
              <w:rPr>
                <w:rFonts w:eastAsia="Calibri" w:cstheme="minorHAnsi"/>
                <w:iCs/>
                <w:sz w:val="20"/>
                <w:szCs w:val="20"/>
              </w:rPr>
              <w:t xml:space="preserve">concibe 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como un instrumento que </w:t>
            </w:r>
            <w:r w:rsidR="00CE3459">
              <w:rPr>
                <w:rFonts w:eastAsia="Calibri" w:cstheme="minorHAnsi"/>
                <w:iCs/>
                <w:sz w:val="20"/>
                <w:szCs w:val="20"/>
              </w:rPr>
              <w:t>permitirá</w:t>
            </w:r>
            <w:r w:rsidR="00F83760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565A17">
              <w:rPr>
                <w:rFonts w:eastAsia="Calibri" w:cstheme="minorHAnsi"/>
                <w:iCs/>
                <w:sz w:val="20"/>
                <w:szCs w:val="20"/>
              </w:rPr>
              <w:t xml:space="preserve">implementar </w:t>
            </w:r>
            <w:r w:rsidR="00F83760">
              <w:rPr>
                <w:rFonts w:eastAsia="Calibri" w:cstheme="minorHAnsi"/>
                <w:iCs/>
                <w:sz w:val="20"/>
                <w:szCs w:val="20"/>
              </w:rPr>
              <w:t xml:space="preserve">el </w:t>
            </w:r>
            <w:r w:rsidR="00F83760" w:rsidRPr="007D7EDE">
              <w:rPr>
                <w:rFonts w:eastAsia="Calibri" w:cstheme="minorHAnsi"/>
                <w:b/>
                <w:iCs/>
                <w:sz w:val="20"/>
                <w:szCs w:val="20"/>
              </w:rPr>
              <w:t>proyecto</w:t>
            </w:r>
            <w:r w:rsidR="00372771" w:rsidRPr="007D7EDE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</w:t>
            </w:r>
            <w:r w:rsidR="007D7EDE" w:rsidRPr="007D7EDE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Reactivación Ecológica </w:t>
            </w:r>
            <w:r w:rsidR="00BD2C5F" w:rsidRPr="007D7EDE">
              <w:rPr>
                <w:rFonts w:eastAsia="Calibri" w:cstheme="minorHAnsi"/>
                <w:b/>
                <w:iCs/>
                <w:sz w:val="20"/>
                <w:szCs w:val="20"/>
              </w:rPr>
              <w:t>Infraestructura Verde Local de Andújar</w:t>
            </w:r>
            <w:r w:rsidR="00BD2C5F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EF2C9E" w:rsidRPr="00EF2C9E">
              <w:rPr>
                <w:rFonts w:eastAsia="Calibri" w:cstheme="minorHAnsi"/>
                <w:b/>
                <w:iCs/>
                <w:sz w:val="20"/>
                <w:szCs w:val="20"/>
              </w:rPr>
              <w:t>IVLA</w:t>
            </w:r>
            <w:r w:rsidR="00EF2C9E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AB6DD8">
              <w:rPr>
                <w:rFonts w:eastAsia="Calibri" w:cstheme="minorHAnsi"/>
                <w:iCs/>
                <w:sz w:val="20"/>
                <w:szCs w:val="20"/>
              </w:rPr>
              <w:t xml:space="preserve">de una </w:t>
            </w:r>
            <w:r w:rsidR="00CE3459">
              <w:rPr>
                <w:rFonts w:eastAsia="Calibri" w:cstheme="minorHAnsi"/>
                <w:iCs/>
                <w:sz w:val="20"/>
                <w:szCs w:val="20"/>
              </w:rPr>
              <w:t>manera</w:t>
            </w:r>
            <w:r w:rsidR="00AE65C5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600FC5">
              <w:rPr>
                <w:rFonts w:eastAsia="Calibri" w:cstheme="minorHAnsi"/>
                <w:iCs/>
                <w:sz w:val="20"/>
                <w:szCs w:val="20"/>
              </w:rPr>
              <w:t xml:space="preserve">compartida, </w:t>
            </w:r>
            <w:r w:rsidR="00A6530F">
              <w:rPr>
                <w:rFonts w:eastAsia="Calibri" w:cstheme="minorHAnsi"/>
                <w:iCs/>
                <w:sz w:val="20"/>
                <w:szCs w:val="20"/>
              </w:rPr>
              <w:t>transparente</w:t>
            </w:r>
            <w:r w:rsidR="007D7EDE">
              <w:rPr>
                <w:rFonts w:eastAsia="Calibri" w:cstheme="minorHAnsi"/>
                <w:iCs/>
                <w:sz w:val="20"/>
                <w:szCs w:val="20"/>
              </w:rPr>
              <w:t>, eficiente</w:t>
            </w:r>
            <w:r w:rsidR="00600FC5">
              <w:rPr>
                <w:rFonts w:eastAsia="Calibri" w:cstheme="minorHAnsi"/>
                <w:iCs/>
                <w:sz w:val="20"/>
                <w:szCs w:val="20"/>
              </w:rPr>
              <w:t xml:space="preserve"> y eficaz</w:t>
            </w:r>
            <w:r w:rsidR="00AE65C5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167B18">
              <w:rPr>
                <w:rFonts w:eastAsia="Calibri" w:cstheme="minorHAnsi"/>
                <w:iCs/>
                <w:sz w:val="20"/>
                <w:szCs w:val="20"/>
              </w:rPr>
              <w:t xml:space="preserve"> A</w:t>
            </w:r>
            <w:r w:rsidR="007D7EDE">
              <w:rPr>
                <w:rFonts w:eastAsia="Calibri" w:cstheme="minorHAnsi"/>
                <w:iCs/>
                <w:sz w:val="20"/>
                <w:szCs w:val="20"/>
              </w:rPr>
              <w:t xml:space="preserve"> través de la gobernanza y participación </w:t>
            </w:r>
            <w:r w:rsidR="00BE6AE6">
              <w:rPr>
                <w:rFonts w:eastAsia="Calibri" w:cstheme="minorHAnsi"/>
                <w:iCs/>
                <w:sz w:val="20"/>
                <w:szCs w:val="20"/>
              </w:rPr>
              <w:t>s</w:t>
            </w:r>
            <w:r w:rsidR="00F43F5D">
              <w:rPr>
                <w:rFonts w:eastAsia="Calibri" w:cstheme="minorHAnsi"/>
                <w:iCs/>
                <w:sz w:val="20"/>
                <w:szCs w:val="20"/>
              </w:rPr>
              <w:t>e busca</w:t>
            </w:r>
            <w:r w:rsidR="00392498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integrar la gestión </w:t>
            </w:r>
            <w:proofErr w:type="spellStart"/>
            <w:r w:rsidR="007D7EDE">
              <w:rPr>
                <w:rFonts w:eastAsia="Calibri" w:cstheme="minorHAnsi"/>
                <w:iCs/>
                <w:sz w:val="20"/>
                <w:szCs w:val="20"/>
              </w:rPr>
              <w:t>intramunicipal</w:t>
            </w:r>
            <w:proofErr w:type="spellEnd"/>
            <w:r w:rsidR="007D7EDE">
              <w:rPr>
                <w:rFonts w:eastAsia="Calibri" w:cstheme="minorHAnsi"/>
                <w:iCs/>
                <w:sz w:val="20"/>
                <w:szCs w:val="20"/>
              </w:rPr>
              <w:t xml:space="preserve"> e interinstitucional, conectándolas a su vez con 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 la dimensión socioeconómica y la dimensión ecológica </w:t>
            </w:r>
            <w:r w:rsidR="00E5524A">
              <w:rPr>
                <w:rFonts w:eastAsia="Calibri" w:cstheme="minorHAnsi"/>
                <w:iCs/>
                <w:sz w:val="20"/>
                <w:szCs w:val="20"/>
              </w:rPr>
              <w:t>del municipio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8E60B3">
              <w:rPr>
                <w:rFonts w:eastAsia="Calibri" w:cstheme="minorHAnsi"/>
                <w:iCs/>
                <w:sz w:val="20"/>
                <w:szCs w:val="20"/>
              </w:rPr>
              <w:t>previendo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 extender este formato de codiseño y participación</w:t>
            </w:r>
            <w:r w:rsidR="007D7EDE">
              <w:rPr>
                <w:rFonts w:eastAsia="Calibri" w:cstheme="minorHAnsi"/>
                <w:iCs/>
                <w:sz w:val="20"/>
                <w:szCs w:val="20"/>
              </w:rPr>
              <w:t xml:space="preserve"> al </w:t>
            </w:r>
            <w:r w:rsidR="00167B18">
              <w:rPr>
                <w:rFonts w:eastAsia="Calibri" w:cstheme="minorHAnsi"/>
                <w:iCs/>
                <w:sz w:val="20"/>
                <w:szCs w:val="20"/>
              </w:rPr>
              <w:t xml:space="preserve">futuro </w:t>
            </w:r>
            <w:r w:rsidR="007D7EDE">
              <w:rPr>
                <w:rFonts w:eastAsia="Calibri" w:cstheme="minorHAnsi"/>
                <w:iCs/>
                <w:sz w:val="20"/>
                <w:szCs w:val="20"/>
              </w:rPr>
              <w:t>que marque el Plan Estratégico de Infraestructuras Verde</w:t>
            </w:r>
            <w:r w:rsidR="00167B18">
              <w:rPr>
                <w:rFonts w:eastAsia="Calibri" w:cstheme="minorHAnsi"/>
                <w:iCs/>
                <w:sz w:val="20"/>
                <w:szCs w:val="20"/>
              </w:rPr>
              <w:t>s (A1).</w:t>
            </w:r>
          </w:p>
          <w:p w:rsidR="00EF2C9E" w:rsidRDefault="00A22055" w:rsidP="003D565A">
            <w:pPr>
              <w:spacing w:after="120" w:line="240" w:lineRule="auto"/>
              <w:jc w:val="both"/>
              <w:rPr>
                <w:rFonts w:eastAsia="Calibri" w:cs="Times New Roman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Este modelo dual </w:t>
            </w:r>
            <w:r w:rsidR="004C7C1B">
              <w:rPr>
                <w:rFonts w:eastAsia="Calibri" w:cstheme="minorHAnsi"/>
                <w:iCs/>
                <w:sz w:val="20"/>
                <w:szCs w:val="20"/>
              </w:rPr>
              <w:t>persigue</w:t>
            </w:r>
            <w:r w:rsidR="00676040" w:rsidRPr="009B1FAC">
              <w:rPr>
                <w:rFonts w:eastAsia="Calibri" w:cstheme="minorHAnsi"/>
                <w:iCs/>
                <w:sz w:val="20"/>
                <w:szCs w:val="20"/>
              </w:rPr>
              <w:t xml:space="preserve"> cubrir dos </w:t>
            </w:r>
            <w:r w:rsidR="00D341AC">
              <w:rPr>
                <w:rFonts w:eastAsia="Calibri" w:cstheme="minorHAnsi"/>
                <w:iCs/>
                <w:sz w:val="20"/>
                <w:szCs w:val="20"/>
              </w:rPr>
              <w:t>aspectos</w:t>
            </w:r>
            <w:r w:rsidR="00676040" w:rsidRPr="009B1FAC">
              <w:rPr>
                <w:rFonts w:eastAsia="Calibri" w:cstheme="minorHAnsi"/>
                <w:iCs/>
                <w:sz w:val="20"/>
                <w:szCs w:val="20"/>
              </w:rPr>
              <w:t xml:space="preserve">. Por un lado, que sirva de </w:t>
            </w:r>
            <w:r w:rsidR="00676040" w:rsidRPr="00FC4B2D">
              <w:rPr>
                <w:rFonts w:eastAsia="Calibri" w:cstheme="minorHAnsi"/>
                <w:iCs/>
                <w:sz w:val="20"/>
                <w:szCs w:val="20"/>
                <w:u w:val="single"/>
              </w:rPr>
              <w:t>marco de participación e interlocución</w:t>
            </w:r>
            <w:r w:rsidR="00676040" w:rsidRPr="009B1FAC">
              <w:rPr>
                <w:rFonts w:eastAsia="Calibri" w:cstheme="minorHAnsi"/>
                <w:iCs/>
                <w:sz w:val="20"/>
                <w:szCs w:val="20"/>
              </w:rPr>
              <w:t>, donde la ciudadanía y los agentes sociales puedan implicarse en todo el proceso de diseño de las actuaciones</w:t>
            </w:r>
            <w:r w:rsidR="00EF2C9E">
              <w:rPr>
                <w:rFonts w:eastAsia="Calibri" w:cstheme="minorHAnsi"/>
                <w:iCs/>
                <w:sz w:val="20"/>
                <w:szCs w:val="20"/>
              </w:rPr>
              <w:t xml:space="preserve"> tipo A y tipo B,</w:t>
            </w:r>
            <w:r w:rsidR="00676040" w:rsidRPr="009B1FAC">
              <w:rPr>
                <w:rFonts w:eastAsia="Calibri" w:cstheme="minorHAnsi"/>
                <w:iCs/>
                <w:sz w:val="20"/>
                <w:szCs w:val="20"/>
              </w:rPr>
              <w:t xml:space="preserve"> y donde el Ayuntamiento pueda comunicar efectivament</w:t>
            </w:r>
            <w:r w:rsidR="00EF2C9E">
              <w:rPr>
                <w:rFonts w:eastAsia="Calibri" w:cstheme="minorHAnsi"/>
                <w:iCs/>
                <w:sz w:val="20"/>
                <w:szCs w:val="20"/>
              </w:rPr>
              <w:t xml:space="preserve">e la implementación de estas. </w:t>
            </w:r>
            <w:r w:rsidR="00676040" w:rsidRPr="009B1FAC">
              <w:rPr>
                <w:rFonts w:eastAsia="Calibri" w:cstheme="minorHAnsi"/>
                <w:iCs/>
                <w:sz w:val="20"/>
                <w:szCs w:val="20"/>
              </w:rPr>
              <w:t xml:space="preserve">Por otro lado, la gobernanza articulará </w:t>
            </w:r>
            <w:r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un </w:t>
            </w:r>
            <w:r w:rsidR="00676040" w:rsidRPr="00FC4B2D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mecanismo </w:t>
            </w:r>
            <w:r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ágil y seguro </w:t>
            </w:r>
            <w:r w:rsidR="00676040" w:rsidRPr="00FC4B2D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de </w:t>
            </w:r>
            <w:r w:rsidR="00D74B2A" w:rsidRPr="00FC4B2D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coordinación y </w:t>
            </w:r>
            <w:r w:rsidR="00676040" w:rsidRPr="00FC4B2D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seguimiento </w:t>
            </w:r>
            <w:r w:rsidR="0050603F">
              <w:rPr>
                <w:rFonts w:eastAsia="Calibri" w:cstheme="minorHAnsi"/>
                <w:iCs/>
                <w:sz w:val="20"/>
                <w:szCs w:val="20"/>
              </w:rPr>
              <w:t>de</w:t>
            </w:r>
            <w:r w:rsidR="00FC4B2D">
              <w:rPr>
                <w:rFonts w:eastAsia="Calibri" w:cstheme="minorHAnsi"/>
                <w:iCs/>
                <w:sz w:val="20"/>
                <w:szCs w:val="20"/>
              </w:rPr>
              <w:t xml:space="preserve"> la ejecución del </w:t>
            </w:r>
            <w:r w:rsidR="0050603F">
              <w:rPr>
                <w:rFonts w:eastAsia="Calibri" w:cstheme="minorHAnsi"/>
                <w:iCs/>
                <w:sz w:val="20"/>
                <w:szCs w:val="20"/>
              </w:rPr>
              <w:t>proyecto por parte del Ayuntamiento</w:t>
            </w:r>
            <w:r w:rsidR="00951087">
              <w:rPr>
                <w:rFonts w:eastAsia="Calibri" w:cstheme="minorHAnsi"/>
                <w:iCs/>
                <w:sz w:val="20"/>
                <w:szCs w:val="20"/>
              </w:rPr>
              <w:t>,</w:t>
            </w:r>
            <w:r w:rsidR="00676040" w:rsidRPr="009B1FAC">
              <w:rPr>
                <w:rFonts w:eastAsia="Calibri" w:cstheme="minorHAnsi"/>
                <w:iCs/>
                <w:sz w:val="20"/>
                <w:szCs w:val="20"/>
              </w:rPr>
              <w:t xml:space="preserve"> de forma que se pueda implementar </w:t>
            </w:r>
            <w:r w:rsidR="00951087">
              <w:rPr>
                <w:rFonts w:eastAsia="Calibri" w:cstheme="minorHAnsi"/>
                <w:iCs/>
                <w:sz w:val="20"/>
                <w:szCs w:val="20"/>
              </w:rPr>
              <w:t>de una manera completa e involucrando a las áreas y personas clave</w:t>
            </w:r>
            <w:r>
              <w:rPr>
                <w:rFonts w:eastAsia="Calibri" w:cstheme="minorHAnsi"/>
                <w:iCs/>
                <w:sz w:val="20"/>
                <w:szCs w:val="20"/>
              </w:rPr>
              <w:t>, ello es vital cuando nos situamos ante un proyecto complejo con numerosas acciones (12 acciones Tipo B) y un plazo de ejecución estricto</w:t>
            </w:r>
            <w:r w:rsidR="00676040" w:rsidRPr="009B1FAC">
              <w:rPr>
                <w:rFonts w:eastAsia="Calibri" w:cstheme="minorHAnsi"/>
                <w:iCs/>
                <w:sz w:val="20"/>
                <w:szCs w:val="20"/>
              </w:rPr>
              <w:t>.</w:t>
            </w:r>
            <w:r w:rsidR="00D6607A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D6607A" w:rsidRPr="00EF2C9E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Para tal fin, se creará una Oficina Técnica Municipal </w:t>
            </w:r>
            <w:r w:rsidR="00EF2C9E" w:rsidRPr="00EF2C9E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OTM </w:t>
            </w:r>
            <w:r w:rsidR="00D6607A" w:rsidRPr="00EF2C9E">
              <w:rPr>
                <w:rFonts w:eastAsia="Calibri" w:cs="Times New Roman"/>
                <w:b/>
                <w:iCs/>
                <w:sz w:val="20"/>
                <w:szCs w:val="20"/>
              </w:rPr>
              <w:t xml:space="preserve">FEDER </w:t>
            </w:r>
            <w:r w:rsidR="006F12B1" w:rsidRPr="00EF2C9E">
              <w:rPr>
                <w:rFonts w:eastAsia="Calibri" w:cs="Times New Roman"/>
                <w:b/>
                <w:iCs/>
                <w:sz w:val="20"/>
                <w:szCs w:val="20"/>
              </w:rPr>
              <w:t>de la IVLA.</w:t>
            </w:r>
          </w:p>
          <w:p w:rsidR="00547ED4" w:rsidRDefault="00676040" w:rsidP="003D565A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El plan propuesto </w:t>
            </w:r>
            <w:r w:rsidR="008E60B3">
              <w:rPr>
                <w:rFonts w:eastAsia="Calibri" w:cstheme="minorHAnsi"/>
                <w:iCs/>
                <w:sz w:val="20"/>
                <w:szCs w:val="20"/>
              </w:rPr>
              <w:t xml:space="preserve">aspira a 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>establece</w:t>
            </w:r>
            <w:r w:rsidR="008E60B3">
              <w:rPr>
                <w:rFonts w:eastAsia="Calibri" w:cstheme="minorHAnsi"/>
                <w:iCs/>
                <w:sz w:val="20"/>
                <w:szCs w:val="20"/>
              </w:rPr>
              <w:t>r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 un espacio de discusión</w:t>
            </w:r>
            <w:r w:rsidR="00167B18">
              <w:rPr>
                <w:rFonts w:eastAsia="Calibri" w:cstheme="minorHAnsi"/>
                <w:iCs/>
                <w:sz w:val="20"/>
                <w:szCs w:val="20"/>
              </w:rPr>
              <w:t>, interlocución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 y reflexión en torno a los valores medioambientales y ecológicos que </w:t>
            </w:r>
            <w:r w:rsidR="008E60B3">
              <w:rPr>
                <w:rFonts w:eastAsia="Calibri" w:cstheme="minorHAnsi"/>
                <w:iCs/>
                <w:sz w:val="20"/>
                <w:szCs w:val="20"/>
              </w:rPr>
              <w:t>posee Andújar</w:t>
            </w:r>
            <w:r w:rsidR="00DC2319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4A2D48">
              <w:rPr>
                <w:rFonts w:eastAsia="Calibri" w:cstheme="minorHAnsi"/>
                <w:iCs/>
                <w:sz w:val="20"/>
                <w:szCs w:val="20"/>
              </w:rPr>
              <w:t>tanto a nivel interno (Ayuntamiento)</w:t>
            </w:r>
            <w:r w:rsidR="00167B18">
              <w:rPr>
                <w:rFonts w:eastAsia="Calibri" w:cstheme="minorHAnsi"/>
                <w:iCs/>
                <w:sz w:val="20"/>
                <w:szCs w:val="20"/>
              </w:rPr>
              <w:t>, interinstitucional (otras administraciones)</w:t>
            </w:r>
            <w:r w:rsidR="004A2D48">
              <w:rPr>
                <w:rFonts w:eastAsia="Calibri" w:cstheme="minorHAnsi"/>
                <w:iCs/>
                <w:sz w:val="20"/>
                <w:szCs w:val="20"/>
              </w:rPr>
              <w:t xml:space="preserve"> como externo (ciudadanía, </w:t>
            </w:r>
            <w:r w:rsidR="00A44FE5">
              <w:rPr>
                <w:rFonts w:eastAsia="Calibri" w:cstheme="minorHAnsi"/>
                <w:iCs/>
                <w:sz w:val="20"/>
                <w:szCs w:val="20"/>
              </w:rPr>
              <w:t xml:space="preserve">actores locales, etc.), </w:t>
            </w:r>
            <w:r w:rsidR="00DC2319">
              <w:rPr>
                <w:rFonts w:eastAsia="Calibri" w:cstheme="minorHAnsi"/>
                <w:iCs/>
                <w:sz w:val="20"/>
                <w:szCs w:val="20"/>
              </w:rPr>
              <w:t xml:space="preserve">tratando de incorporar y canalizar de manera definitiva las aspiraciones, deseos y </w:t>
            </w:r>
            <w:r w:rsidR="004A2D48">
              <w:rPr>
                <w:rFonts w:eastAsia="Calibri" w:cstheme="minorHAnsi"/>
                <w:iCs/>
                <w:sz w:val="20"/>
                <w:szCs w:val="20"/>
              </w:rPr>
              <w:t xml:space="preserve">visión de </w:t>
            </w:r>
            <w:r w:rsidR="003431C1">
              <w:rPr>
                <w:rFonts w:eastAsia="Calibri" w:cstheme="minorHAnsi"/>
                <w:iCs/>
                <w:sz w:val="20"/>
                <w:szCs w:val="20"/>
              </w:rPr>
              <w:t>toda la población</w:t>
            </w:r>
            <w:r w:rsidR="0093722D">
              <w:rPr>
                <w:rFonts w:eastAsia="Calibri" w:cstheme="minorHAnsi"/>
                <w:iCs/>
                <w:sz w:val="20"/>
                <w:szCs w:val="20"/>
              </w:rPr>
              <w:t xml:space="preserve"> en la implementación directa</w:t>
            </w:r>
            <w:r w:rsidR="00BD2708">
              <w:rPr>
                <w:rFonts w:eastAsia="Calibri" w:cstheme="minorHAnsi"/>
                <w:iCs/>
                <w:sz w:val="20"/>
                <w:szCs w:val="20"/>
              </w:rPr>
              <w:t xml:space="preserve"> y agilizar el proceso de tom</w:t>
            </w:r>
            <w:r w:rsidR="00EF2C9E">
              <w:rPr>
                <w:rFonts w:eastAsia="Calibri" w:cstheme="minorHAnsi"/>
                <w:iCs/>
                <w:sz w:val="20"/>
                <w:szCs w:val="20"/>
              </w:rPr>
              <w:t>a</w:t>
            </w:r>
            <w:r w:rsidR="00BD2708">
              <w:rPr>
                <w:rFonts w:eastAsia="Calibri" w:cstheme="minorHAnsi"/>
                <w:iCs/>
                <w:sz w:val="20"/>
                <w:szCs w:val="20"/>
              </w:rPr>
              <w:t xml:space="preserve"> de decisiones y ejecución cotidiana</w:t>
            </w:r>
            <w:r w:rsidR="00A93B9B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2D5BF1">
              <w:rPr>
                <w:rFonts w:eastAsia="Calibri" w:cstheme="minorHAnsi"/>
                <w:iCs/>
                <w:sz w:val="20"/>
                <w:szCs w:val="20"/>
              </w:rPr>
              <w:t>este modelo planteado permitirá adelantarse y reducir</w:t>
            </w:r>
            <w:r w:rsidR="00DE3BE2">
              <w:rPr>
                <w:rFonts w:eastAsia="Calibri" w:cstheme="minorHAnsi"/>
                <w:iCs/>
                <w:sz w:val="20"/>
                <w:szCs w:val="20"/>
              </w:rPr>
              <w:t xml:space="preserve"> considerablemente </w:t>
            </w:r>
            <w:r w:rsidRPr="009B1FAC">
              <w:rPr>
                <w:rFonts w:eastAsia="Calibri" w:cstheme="minorHAnsi"/>
                <w:iCs/>
                <w:sz w:val="20"/>
                <w:szCs w:val="20"/>
              </w:rPr>
              <w:t xml:space="preserve">los posibles </w:t>
            </w:r>
            <w:r w:rsidR="008A6E1F">
              <w:rPr>
                <w:rFonts w:eastAsia="Calibri" w:cstheme="minorHAnsi"/>
                <w:iCs/>
                <w:sz w:val="20"/>
                <w:szCs w:val="20"/>
              </w:rPr>
              <w:t>obstáculos</w:t>
            </w:r>
            <w:r w:rsidR="003E5F70">
              <w:rPr>
                <w:rFonts w:eastAsia="Calibri" w:cstheme="minorHAnsi"/>
                <w:iCs/>
                <w:sz w:val="20"/>
                <w:szCs w:val="20"/>
              </w:rPr>
              <w:t xml:space="preserve"> o cuellos de botella.</w:t>
            </w:r>
          </w:p>
          <w:p w:rsidR="00590B49" w:rsidRDefault="005F2C15" w:rsidP="00FE2760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Para construir 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este marco de gobernanza y 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>visión compartida, se han diseñado 5 actuaciones</w:t>
            </w:r>
            <w:r>
              <w:rPr>
                <w:rFonts w:eastAsia="Calibri" w:cstheme="minorHAnsi"/>
                <w:iCs/>
                <w:sz w:val="20"/>
                <w:szCs w:val="20"/>
              </w:rPr>
              <w:t>. Estas tienen como fin último</w:t>
            </w:r>
            <w:r w:rsidR="00B1178B">
              <w:rPr>
                <w:rFonts w:eastAsia="Calibri" w:cstheme="minorHAnsi"/>
                <w:iCs/>
                <w:sz w:val="20"/>
                <w:szCs w:val="20"/>
              </w:rPr>
              <w:t xml:space="preserve">: la </w:t>
            </w:r>
            <w:r w:rsidR="00BD2708" w:rsidRPr="006738E6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mejor </w:t>
            </w:r>
            <w:proofErr w:type="spellStart"/>
            <w:r w:rsidR="00C71781">
              <w:rPr>
                <w:rFonts w:eastAsia="Calibri" w:cstheme="minorHAnsi"/>
                <w:iCs/>
                <w:sz w:val="20"/>
                <w:szCs w:val="20"/>
                <w:u w:val="single"/>
              </w:rPr>
              <w:t>participación+interlocución</w:t>
            </w:r>
            <w:proofErr w:type="spellEnd"/>
            <w:r w:rsidR="00C71781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y la</w:t>
            </w:r>
            <w:r w:rsidR="00B1178B" w:rsidRPr="006738E6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BD2708" w:rsidRPr="006738E6">
              <w:rPr>
                <w:rFonts w:eastAsia="Calibri" w:cstheme="minorHAnsi"/>
                <w:iCs/>
                <w:sz w:val="20"/>
                <w:szCs w:val="20"/>
                <w:u w:val="single"/>
              </w:rPr>
              <w:t>mejor</w:t>
            </w:r>
            <w:r w:rsidR="00B11CEB" w:rsidRPr="006738E6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="00B11CEB" w:rsidRPr="006738E6">
              <w:rPr>
                <w:rFonts w:eastAsia="Calibri" w:cstheme="minorHAnsi"/>
                <w:iCs/>
                <w:sz w:val="20"/>
                <w:szCs w:val="20"/>
                <w:u w:val="single"/>
              </w:rPr>
              <w:t>ejecución+</w:t>
            </w:r>
            <w:r w:rsidR="00B1178B" w:rsidRPr="006738E6">
              <w:rPr>
                <w:rFonts w:eastAsia="Calibri" w:cstheme="minorHAnsi"/>
                <w:iCs/>
                <w:sz w:val="20"/>
                <w:szCs w:val="20"/>
                <w:u w:val="single"/>
              </w:rPr>
              <w:t>seguimiento+coordinacion</w:t>
            </w:r>
            <w:proofErr w:type="spellEnd"/>
            <w:r w:rsidR="00B1178B">
              <w:rPr>
                <w:rFonts w:eastAsia="Calibri" w:cstheme="minorHAnsi"/>
                <w:iCs/>
                <w:sz w:val="20"/>
                <w:szCs w:val="20"/>
              </w:rPr>
              <w:t>.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B1178B" w:rsidRDefault="00825384" w:rsidP="00FE2760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Tras la finalización del proyecto, se</w:t>
            </w:r>
            <w:r w:rsidR="005F2C15">
              <w:rPr>
                <w:rFonts w:eastAsia="Calibri" w:cstheme="minorHAnsi"/>
                <w:iCs/>
                <w:sz w:val="20"/>
                <w:szCs w:val="20"/>
              </w:rPr>
              <w:t xml:space="preserve"> busca que</w:t>
            </w:r>
            <w:r w:rsidR="00B11CEB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5F2C15">
              <w:rPr>
                <w:rFonts w:eastAsia="Calibri" w:cstheme="minorHAnsi"/>
                <w:iCs/>
                <w:sz w:val="20"/>
                <w:szCs w:val="20"/>
              </w:rPr>
              <w:t>perdure más allá d</w:t>
            </w:r>
            <w:r w:rsidR="00401089">
              <w:rPr>
                <w:rFonts w:eastAsia="Calibri" w:cstheme="minorHAnsi"/>
                <w:iCs/>
                <w:sz w:val="20"/>
                <w:szCs w:val="20"/>
              </w:rPr>
              <w:t>e</w:t>
            </w:r>
            <w:r w:rsidR="00DF71A0">
              <w:rPr>
                <w:rFonts w:eastAsia="Calibri" w:cstheme="minorHAnsi"/>
                <w:iCs/>
                <w:sz w:val="20"/>
                <w:szCs w:val="20"/>
              </w:rPr>
              <w:t>l periodo de ejecución</w:t>
            </w:r>
            <w:r w:rsidR="005F2C15">
              <w:rPr>
                <w:rFonts w:eastAsia="Calibri" w:cstheme="minorHAnsi"/>
                <w:iCs/>
                <w:sz w:val="20"/>
                <w:szCs w:val="20"/>
              </w:rPr>
              <w:t xml:space="preserve"> y que los grupos de trabajo, dinámicas, foros, etc. se consoliden a futuro</w:t>
            </w:r>
            <w:r w:rsidR="00DF71A0">
              <w:rPr>
                <w:rFonts w:eastAsia="Calibri" w:cstheme="minorHAnsi"/>
                <w:iCs/>
                <w:sz w:val="20"/>
                <w:szCs w:val="20"/>
              </w:rPr>
              <w:t xml:space="preserve">, se integren en la </w:t>
            </w:r>
            <w:r w:rsidR="007A5D2E">
              <w:rPr>
                <w:rFonts w:eastAsia="Calibri" w:cstheme="minorHAnsi"/>
                <w:iCs/>
                <w:sz w:val="20"/>
                <w:szCs w:val="20"/>
              </w:rPr>
              <w:t xml:space="preserve">gestión municipal, y queden </w:t>
            </w:r>
            <w:r w:rsidR="005F2C15">
              <w:rPr>
                <w:rFonts w:eastAsia="Calibri" w:cstheme="minorHAnsi"/>
                <w:iCs/>
                <w:sz w:val="20"/>
                <w:szCs w:val="20"/>
              </w:rPr>
              <w:t xml:space="preserve">enmarcados </w:t>
            </w:r>
            <w:r w:rsidR="007A5D2E">
              <w:rPr>
                <w:rFonts w:eastAsia="Calibri" w:cstheme="minorHAnsi"/>
                <w:iCs/>
                <w:sz w:val="20"/>
                <w:szCs w:val="20"/>
              </w:rPr>
              <w:t xml:space="preserve">e impulsados </w:t>
            </w:r>
            <w:r w:rsidR="005F2C15">
              <w:rPr>
                <w:rFonts w:eastAsia="Calibri" w:cstheme="minorHAnsi"/>
                <w:iCs/>
                <w:sz w:val="20"/>
                <w:szCs w:val="20"/>
              </w:rPr>
              <w:t>en el Plan de Infraestructura Verde y Azul de Andújar (Acción A1).</w:t>
            </w:r>
            <w:r w:rsidR="00401089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5F2C15" w:rsidRPr="00266FF7" w:rsidRDefault="00401089" w:rsidP="00FE2760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La perspectiva de género serán un elemento transversal, que estará presente de manera explícita a lo largo de todas las actuaciones y proceso de gobernanza.</w:t>
            </w:r>
          </w:p>
        </w:tc>
      </w:tr>
      <w:tr w:rsidR="00471599" w:rsidRPr="00266FF7" w:rsidTr="00590B49">
        <w:trPr>
          <w:trHeight w:val="499"/>
        </w:trPr>
        <w:tc>
          <w:tcPr>
            <w:tcW w:w="10773" w:type="dxa"/>
            <w:gridSpan w:val="3"/>
            <w:shd w:val="clear" w:color="auto" w:fill="31849B" w:themeFill="accent5" w:themeFillShade="BF"/>
          </w:tcPr>
          <w:p w:rsidR="00471599" w:rsidRPr="00266FF7" w:rsidRDefault="00471599" w:rsidP="0047159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Descripción de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portar la información necesaria para explicar su alcance, detallando las fases/tareas que engloba, demostrando su contribución a los </w:t>
            </w:r>
            <w:r w:rsidR="00F5311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objetivos y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hacie</w:t>
            </w:r>
            <w:r w:rsidR="00560D82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n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do mención específica a los resultados esperados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.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Cuando la acción se ejecute en agrupación, especificar cómo se plantea el reparto de trabajo por entidad)</w:t>
            </w:r>
          </w:p>
        </w:tc>
      </w:tr>
      <w:tr w:rsidR="00471599" w:rsidRPr="00CE7C5B" w:rsidTr="00F53115">
        <w:trPr>
          <w:trHeight w:val="428"/>
        </w:trPr>
        <w:tc>
          <w:tcPr>
            <w:tcW w:w="10773" w:type="dxa"/>
            <w:gridSpan w:val="3"/>
            <w:shd w:val="clear" w:color="auto" w:fill="auto"/>
          </w:tcPr>
          <w:p w:rsidR="00696443" w:rsidRDefault="007A5D2E" w:rsidP="00696443">
            <w:p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El Plan de Gobernanza y Participación propuesto se </w:t>
            </w:r>
            <w:r w:rsidR="0054217C">
              <w:rPr>
                <w:rFonts w:eastAsia="Calibri" w:cstheme="minorHAnsi"/>
                <w:iCs/>
                <w:sz w:val="20"/>
                <w:szCs w:val="20"/>
              </w:rPr>
              <w:t>estructurará de la siguiente manera:</w:t>
            </w:r>
          </w:p>
          <w:p w:rsidR="00401ACF" w:rsidRDefault="00676040" w:rsidP="00EF2C9E">
            <w:pPr>
              <w:spacing w:after="12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676040">
              <w:rPr>
                <w:rFonts w:eastAsia="Calibri" w:cstheme="minorHAnsi"/>
                <w:b/>
                <w:iCs/>
                <w:sz w:val="20"/>
                <w:szCs w:val="20"/>
              </w:rPr>
              <w:t>Act</w:t>
            </w:r>
            <w:r w:rsidR="00894CBC">
              <w:rPr>
                <w:rFonts w:eastAsia="Calibri" w:cstheme="minorHAnsi"/>
                <w:b/>
                <w:iCs/>
                <w:sz w:val="20"/>
                <w:szCs w:val="20"/>
              </w:rPr>
              <w:t>uación</w:t>
            </w:r>
            <w:r w:rsidRPr="00676040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1) </w:t>
            </w:r>
            <w:r w:rsidR="002C2C80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Estructura y niveles de </w:t>
            </w:r>
            <w:proofErr w:type="spellStart"/>
            <w:r w:rsidR="002C2C80">
              <w:rPr>
                <w:rFonts w:eastAsia="Calibri" w:cstheme="minorHAnsi"/>
                <w:b/>
                <w:iCs/>
                <w:sz w:val="20"/>
                <w:szCs w:val="20"/>
              </w:rPr>
              <w:t>Gobernanza</w:t>
            </w:r>
            <w:r w:rsidR="00BB0882">
              <w:rPr>
                <w:rFonts w:eastAsia="Calibri" w:cstheme="minorHAnsi"/>
                <w:b/>
                <w:iCs/>
                <w:sz w:val="20"/>
                <w:szCs w:val="20"/>
              </w:rPr>
              <w:t>+Participación</w:t>
            </w:r>
            <w:proofErr w:type="spellEnd"/>
            <w:r w:rsidR="00BB0882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: </w:t>
            </w:r>
            <w:r w:rsidR="006E2B53">
              <w:rPr>
                <w:rFonts w:eastAsia="Calibri" w:cstheme="minorHAnsi"/>
                <w:iCs/>
                <w:sz w:val="20"/>
                <w:szCs w:val="20"/>
              </w:rPr>
              <w:t>Se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 diseña un </w:t>
            </w:r>
            <w:r w:rsidR="006E2B53">
              <w:rPr>
                <w:rFonts w:eastAsia="Calibri" w:cstheme="minorHAnsi"/>
                <w:iCs/>
                <w:sz w:val="20"/>
                <w:szCs w:val="20"/>
              </w:rPr>
              <w:t xml:space="preserve">sistema y 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>mecanismo</w:t>
            </w:r>
            <w:r w:rsidR="006E2B53">
              <w:rPr>
                <w:rFonts w:eastAsia="Calibri" w:cstheme="minorHAnsi"/>
                <w:iCs/>
                <w:sz w:val="20"/>
                <w:szCs w:val="20"/>
              </w:rPr>
              <w:t>s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 de coordinación </w:t>
            </w:r>
            <w:r w:rsidR="00D90982">
              <w:rPr>
                <w:rFonts w:eastAsia="Calibri" w:cstheme="minorHAnsi"/>
                <w:iCs/>
                <w:sz w:val="20"/>
                <w:szCs w:val="20"/>
              </w:rPr>
              <w:t>de</w:t>
            </w:r>
            <w:r w:rsidR="005D3EEC">
              <w:rPr>
                <w:rFonts w:eastAsia="Calibri" w:cstheme="minorHAnsi"/>
                <w:iCs/>
                <w:sz w:val="20"/>
                <w:szCs w:val="20"/>
              </w:rPr>
              <w:t xml:space="preserve"> gobernanza </w:t>
            </w:r>
            <w:r w:rsidR="005D3EEC" w:rsidRPr="00676040">
              <w:rPr>
                <w:rFonts w:eastAsia="Calibri" w:cstheme="minorHAnsi"/>
                <w:iCs/>
                <w:sz w:val="20"/>
                <w:szCs w:val="20"/>
              </w:rPr>
              <w:t xml:space="preserve">liderada y coordinada por el Ayuntamiento de </w:t>
            </w:r>
            <w:r w:rsidR="005D3EEC">
              <w:rPr>
                <w:rFonts w:eastAsia="Calibri" w:cstheme="minorHAnsi"/>
                <w:iCs/>
                <w:sz w:val="20"/>
                <w:szCs w:val="20"/>
              </w:rPr>
              <w:t xml:space="preserve">Andújar y su </w:t>
            </w:r>
            <w:r w:rsidR="00BD2C5F" w:rsidRPr="004C6DF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núcleo será la</w:t>
            </w:r>
            <w:r w:rsidR="00BD2C5F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BD2C5F" w:rsidRPr="009A7F9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Oficina Técnica Municipal (OTM) </w:t>
            </w:r>
            <w:r w:rsidR="00BD2C5F" w:rsidRPr="009A7F9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FEDER de la IVLA</w:t>
            </w:r>
            <w:r w:rsidR="00FB5706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. </w:t>
            </w:r>
            <w:r w:rsidR="00FB5706">
              <w:rPr>
                <w:rFonts w:eastAsia="Calibri" w:cs="Times New Roman"/>
                <w:iCs/>
                <w:sz w:val="20"/>
                <w:szCs w:val="20"/>
              </w:rPr>
              <w:t xml:space="preserve">Esta OTM </w:t>
            </w:r>
            <w:r w:rsidR="00A63571">
              <w:rPr>
                <w:rFonts w:eastAsia="Calibri" w:cs="Times New Roman"/>
                <w:iCs/>
                <w:sz w:val="20"/>
                <w:szCs w:val="20"/>
              </w:rPr>
              <w:t>será</w:t>
            </w:r>
            <w:r w:rsidR="00EF2C9E">
              <w:rPr>
                <w:rFonts w:eastAsia="Calibri" w:cs="Times New Roman"/>
                <w:iCs/>
                <w:sz w:val="20"/>
                <w:szCs w:val="20"/>
              </w:rPr>
              <w:t xml:space="preserve"> la encargada de coordinar </w:t>
            </w:r>
            <w:r w:rsidR="00FB5706">
              <w:rPr>
                <w:rFonts w:eastAsia="Calibri" w:cs="Times New Roman"/>
                <w:iCs/>
                <w:sz w:val="20"/>
                <w:szCs w:val="20"/>
              </w:rPr>
              <w:t>las acciones del proyecto (</w:t>
            </w:r>
            <w:r w:rsidR="00315B8B">
              <w:rPr>
                <w:rFonts w:eastAsia="Calibri" w:cs="Times New Roman"/>
                <w:iCs/>
                <w:sz w:val="20"/>
                <w:szCs w:val="20"/>
              </w:rPr>
              <w:t xml:space="preserve">imputación </w:t>
            </w:r>
            <w:r w:rsidR="00A37AD8">
              <w:rPr>
                <w:rFonts w:eastAsia="Calibri" w:cs="Times New Roman"/>
                <w:iCs/>
                <w:sz w:val="20"/>
                <w:szCs w:val="20"/>
              </w:rPr>
              <w:t>de</w:t>
            </w:r>
            <w:r w:rsidR="00315B8B">
              <w:rPr>
                <w:rFonts w:eastAsia="Calibri" w:cs="Times New Roman"/>
                <w:iCs/>
                <w:sz w:val="20"/>
                <w:szCs w:val="20"/>
              </w:rPr>
              <w:t xml:space="preserve"> Personal en las correspondientes fichas</w:t>
            </w:r>
            <w:r w:rsidR="00FB5706">
              <w:rPr>
                <w:rFonts w:eastAsia="Calibri" w:cs="Times New Roman"/>
                <w:iCs/>
                <w:sz w:val="20"/>
                <w:szCs w:val="20"/>
              </w:rPr>
              <w:t>)</w:t>
            </w:r>
            <w:r w:rsidR="00A63571">
              <w:rPr>
                <w:rFonts w:eastAsia="Calibri" w:cs="Times New Roman"/>
                <w:iCs/>
                <w:sz w:val="20"/>
                <w:szCs w:val="20"/>
              </w:rPr>
              <w:t>,</w:t>
            </w:r>
            <w:r w:rsidR="00FB5706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A37AD8">
              <w:rPr>
                <w:rFonts w:eastAsia="Calibri" w:cs="Times New Roman"/>
                <w:iCs/>
                <w:sz w:val="20"/>
                <w:szCs w:val="20"/>
              </w:rPr>
              <w:t xml:space="preserve">pero </w:t>
            </w:r>
            <w:r w:rsidR="00FB5706">
              <w:rPr>
                <w:rFonts w:eastAsia="Calibri" w:cs="Times New Roman"/>
                <w:iCs/>
                <w:sz w:val="20"/>
                <w:szCs w:val="20"/>
              </w:rPr>
              <w:t>s</w:t>
            </w:r>
            <w:r w:rsidR="00F67C51">
              <w:rPr>
                <w:rFonts w:eastAsia="Calibri" w:cs="Times New Roman"/>
                <w:iCs/>
                <w:sz w:val="20"/>
                <w:szCs w:val="20"/>
              </w:rPr>
              <w:t xml:space="preserve">erá </w:t>
            </w:r>
            <w:r w:rsidR="00FB5706">
              <w:rPr>
                <w:rFonts w:eastAsia="Calibri" w:cs="Times New Roman"/>
                <w:iCs/>
                <w:sz w:val="20"/>
                <w:szCs w:val="20"/>
              </w:rPr>
              <w:t xml:space="preserve">también la unidad que se encargue de </w:t>
            </w:r>
            <w:r w:rsidR="005E2A98">
              <w:rPr>
                <w:rFonts w:eastAsia="Calibri" w:cs="Times New Roman"/>
                <w:iCs/>
                <w:sz w:val="20"/>
                <w:szCs w:val="20"/>
              </w:rPr>
              <w:t>impulsar</w:t>
            </w:r>
            <w:r w:rsidR="00315B8B">
              <w:rPr>
                <w:rFonts w:eastAsia="Calibri" w:cs="Times New Roman"/>
                <w:iCs/>
                <w:sz w:val="20"/>
                <w:szCs w:val="20"/>
              </w:rPr>
              <w:t xml:space="preserve"> la participación, comunicación</w:t>
            </w:r>
            <w:r w:rsidR="00BF5593">
              <w:rPr>
                <w:rFonts w:eastAsia="Calibri" w:cs="Times New Roman"/>
                <w:iCs/>
                <w:sz w:val="20"/>
                <w:szCs w:val="20"/>
              </w:rPr>
              <w:t>, interlocución</w:t>
            </w:r>
            <w:r w:rsidR="00F67C51">
              <w:rPr>
                <w:rFonts w:eastAsia="Calibri" w:cs="Times New Roman"/>
                <w:iCs/>
                <w:sz w:val="20"/>
                <w:szCs w:val="20"/>
              </w:rPr>
              <w:t xml:space="preserve"> y</w:t>
            </w:r>
            <w:r w:rsidR="00315B8B">
              <w:rPr>
                <w:rFonts w:eastAsia="Calibri" w:cs="Times New Roman"/>
                <w:iCs/>
                <w:sz w:val="20"/>
                <w:szCs w:val="20"/>
              </w:rPr>
              <w:t xml:space="preserve"> transparencia</w:t>
            </w:r>
            <w:r w:rsidR="00BF5593">
              <w:rPr>
                <w:rFonts w:eastAsia="Calibri" w:cs="Times New Roman"/>
                <w:iCs/>
                <w:sz w:val="20"/>
                <w:szCs w:val="20"/>
              </w:rPr>
              <w:t xml:space="preserve">. </w:t>
            </w:r>
          </w:p>
          <w:p w:rsidR="00676040" w:rsidRPr="00676040" w:rsidRDefault="001A7BD9" w:rsidP="00F2656F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4925D6">
              <w:rPr>
                <w:rFonts w:eastAsia="Calibri" w:cs="Times New Roman"/>
                <w:iCs/>
                <w:sz w:val="20"/>
                <w:szCs w:val="20"/>
              </w:rPr>
              <w:t>E</w:t>
            </w:r>
            <w:r w:rsidR="00312D49">
              <w:rPr>
                <w:rFonts w:eastAsia="Calibri" w:cs="Times New Roman"/>
                <w:iCs/>
                <w:sz w:val="20"/>
                <w:szCs w:val="20"/>
              </w:rPr>
              <w:t xml:space="preserve">l funcionamiento de la </w:t>
            </w:r>
            <w:r w:rsidR="00047285">
              <w:rPr>
                <w:rFonts w:eastAsia="Calibri" w:cs="Times New Roman"/>
                <w:iCs/>
                <w:sz w:val="20"/>
                <w:szCs w:val="20"/>
              </w:rPr>
              <w:t>OTM estará coordinad</w:t>
            </w:r>
            <w:r w:rsidR="00312D49">
              <w:rPr>
                <w:rFonts w:eastAsia="Calibri" w:cs="Times New Roman"/>
                <w:iCs/>
                <w:sz w:val="20"/>
                <w:szCs w:val="20"/>
              </w:rPr>
              <w:t>o por el Jefe de Servicio de Medio Ambiente</w:t>
            </w:r>
            <w:r w:rsidR="003E425A">
              <w:rPr>
                <w:rFonts w:eastAsia="Calibri" w:cs="Times New Roman"/>
                <w:iCs/>
                <w:sz w:val="20"/>
                <w:szCs w:val="20"/>
              </w:rPr>
              <w:t>, será supervisado por la Técnica Municipal de Medio Ambiente y esta</w:t>
            </w:r>
            <w:r w:rsidRPr="004925D6">
              <w:rPr>
                <w:rFonts w:eastAsia="Calibri" w:cs="Times New Roman"/>
                <w:iCs/>
                <w:sz w:val="20"/>
                <w:szCs w:val="20"/>
              </w:rPr>
              <w:t xml:space="preserve">rá compuesto </w:t>
            </w:r>
            <w:r w:rsidR="000B103D">
              <w:rPr>
                <w:rFonts w:eastAsia="Calibri" w:cs="Times New Roman"/>
                <w:iCs/>
                <w:sz w:val="20"/>
                <w:szCs w:val="20"/>
              </w:rPr>
              <w:t xml:space="preserve">como mínimo </w:t>
            </w:r>
            <w:r w:rsidRPr="004925D6">
              <w:rPr>
                <w:rFonts w:eastAsia="Calibri" w:cs="Times New Roman"/>
                <w:iCs/>
                <w:sz w:val="20"/>
                <w:szCs w:val="20"/>
              </w:rPr>
              <w:t xml:space="preserve">por </w:t>
            </w:r>
            <w:r w:rsidR="005F5FA8">
              <w:rPr>
                <w:rFonts w:eastAsia="Calibri" w:cs="Times New Roman"/>
                <w:iCs/>
                <w:sz w:val="20"/>
                <w:szCs w:val="20"/>
              </w:rPr>
              <w:t xml:space="preserve">otros </w:t>
            </w:r>
            <w:r w:rsidR="002258D3">
              <w:rPr>
                <w:rFonts w:eastAsia="Calibri" w:cs="Times New Roman"/>
                <w:iCs/>
                <w:sz w:val="20"/>
                <w:szCs w:val="20"/>
              </w:rPr>
              <w:t>3</w:t>
            </w:r>
            <w:r w:rsidR="00D47BD9" w:rsidRPr="004925D6">
              <w:rPr>
                <w:rFonts w:eastAsia="Calibri" w:cs="Times New Roman"/>
                <w:iCs/>
                <w:sz w:val="20"/>
                <w:szCs w:val="20"/>
              </w:rPr>
              <w:t xml:space="preserve"> Técnico</w:t>
            </w:r>
            <w:r w:rsidR="004925D6">
              <w:rPr>
                <w:rFonts w:eastAsia="Calibri" w:cs="Times New Roman"/>
                <w:iCs/>
                <w:sz w:val="20"/>
                <w:szCs w:val="20"/>
              </w:rPr>
              <w:t>s</w:t>
            </w:r>
            <w:r w:rsidR="00D47BD9" w:rsidRPr="004925D6">
              <w:rPr>
                <w:rFonts w:eastAsia="Calibri" w:cs="Times New Roman"/>
                <w:iCs/>
                <w:sz w:val="20"/>
                <w:szCs w:val="20"/>
              </w:rPr>
              <w:t xml:space="preserve"> municipal</w:t>
            </w:r>
            <w:r w:rsidR="004925D6">
              <w:rPr>
                <w:rFonts w:eastAsia="Calibri" w:cs="Times New Roman"/>
                <w:iCs/>
                <w:sz w:val="20"/>
                <w:szCs w:val="20"/>
              </w:rPr>
              <w:t xml:space="preserve">es </w:t>
            </w:r>
            <w:r w:rsidR="00D47BD9" w:rsidRPr="004925D6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="00C53784">
              <w:rPr>
                <w:rFonts w:eastAsia="Calibri" w:cs="Times New Roman"/>
                <w:iCs/>
                <w:sz w:val="20"/>
                <w:szCs w:val="20"/>
              </w:rPr>
              <w:t xml:space="preserve">2 nivel </w:t>
            </w:r>
            <w:r w:rsidR="00D47BD9" w:rsidRPr="004925D6">
              <w:rPr>
                <w:rFonts w:eastAsia="Calibri" w:cs="Times New Roman"/>
                <w:iCs/>
                <w:sz w:val="20"/>
                <w:szCs w:val="20"/>
              </w:rPr>
              <w:t>A1 26</w:t>
            </w:r>
            <w:r w:rsidR="002258D3">
              <w:rPr>
                <w:rFonts w:eastAsia="Calibri" w:cs="Times New Roman"/>
                <w:iCs/>
                <w:sz w:val="20"/>
                <w:szCs w:val="20"/>
              </w:rPr>
              <w:t xml:space="preserve"> y</w:t>
            </w:r>
            <w:r w:rsidR="00C53784">
              <w:rPr>
                <w:rFonts w:eastAsia="Calibri" w:cs="Times New Roman"/>
                <w:iCs/>
                <w:sz w:val="20"/>
                <w:szCs w:val="20"/>
              </w:rPr>
              <w:t xml:space="preserve"> 1 nivel</w:t>
            </w:r>
            <w:r w:rsidR="002258D3">
              <w:rPr>
                <w:rFonts w:eastAsia="Calibri" w:cs="Times New Roman"/>
                <w:iCs/>
                <w:sz w:val="20"/>
                <w:szCs w:val="20"/>
              </w:rPr>
              <w:t xml:space="preserve"> A2 24</w:t>
            </w:r>
            <w:r w:rsidR="00D47BD9" w:rsidRPr="004925D6">
              <w:rPr>
                <w:rFonts w:eastAsia="Calibri" w:cs="Times New Roman"/>
                <w:iCs/>
                <w:sz w:val="20"/>
                <w:szCs w:val="20"/>
              </w:rPr>
              <w:t xml:space="preserve">) </w:t>
            </w:r>
            <w:r w:rsidR="00F07512">
              <w:rPr>
                <w:rFonts w:eastAsia="Calibri" w:cs="Times New Roman"/>
                <w:iCs/>
                <w:sz w:val="20"/>
                <w:szCs w:val="20"/>
              </w:rPr>
              <w:t>(tareas administrativas, pliegos, gestión jurídica, justificación económica,</w:t>
            </w:r>
            <w:r w:rsidR="00401ACF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590B49">
              <w:rPr>
                <w:rFonts w:eastAsia="Calibri" w:cs="Times New Roman"/>
                <w:iCs/>
                <w:sz w:val="20"/>
                <w:szCs w:val="20"/>
              </w:rPr>
              <w:t xml:space="preserve">control dirección obra, </w:t>
            </w:r>
            <w:proofErr w:type="spellStart"/>
            <w:r w:rsidR="00590B49">
              <w:rPr>
                <w:rFonts w:eastAsia="Calibri" w:cs="Times New Roman"/>
                <w:iCs/>
                <w:sz w:val="20"/>
                <w:szCs w:val="20"/>
              </w:rPr>
              <w:t>checking</w:t>
            </w:r>
            <w:proofErr w:type="spellEnd"/>
            <w:r w:rsidR="00590B49">
              <w:rPr>
                <w:rFonts w:eastAsia="Calibri" w:cs="Times New Roman"/>
                <w:iCs/>
                <w:sz w:val="20"/>
                <w:szCs w:val="20"/>
              </w:rPr>
              <w:t xml:space="preserve"> mediciones, redacción pliegos técnicos, supervisión DNSH, </w:t>
            </w:r>
            <w:r w:rsidR="002258D3">
              <w:rPr>
                <w:rFonts w:eastAsia="Calibri" w:cs="Times New Roman"/>
                <w:iCs/>
                <w:sz w:val="20"/>
                <w:szCs w:val="20"/>
              </w:rPr>
              <w:t xml:space="preserve">calidad y seguimiento indicadores, </w:t>
            </w:r>
            <w:r w:rsidR="00077960" w:rsidRPr="00077960">
              <w:rPr>
                <w:rFonts w:eastAsia="Calibri" w:cs="Times New Roman"/>
                <w:iCs/>
                <w:sz w:val="20"/>
                <w:szCs w:val="20"/>
                <w:u w:val="single"/>
              </w:rPr>
              <w:t>gestión perspectiva género</w:t>
            </w:r>
            <w:r w:rsidR="00077960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F07512">
              <w:rPr>
                <w:rFonts w:eastAsia="Calibri" w:cs="Times New Roman"/>
                <w:iCs/>
                <w:sz w:val="20"/>
                <w:szCs w:val="20"/>
              </w:rPr>
              <w:t>etc.</w:t>
            </w:r>
            <w:r w:rsidR="005F5FA8">
              <w:rPr>
                <w:rFonts w:eastAsia="Calibri" w:cs="Times New Roman"/>
                <w:iCs/>
                <w:sz w:val="20"/>
                <w:szCs w:val="20"/>
              </w:rPr>
              <w:t>) y 1 administrativo</w:t>
            </w:r>
            <w:r w:rsidR="005F5FA8" w:rsidRPr="004925D6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5F5FA8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="00D47BD9" w:rsidRPr="004925D6">
              <w:rPr>
                <w:rFonts w:eastAsia="Calibri" w:cs="Times New Roman"/>
                <w:iCs/>
                <w:sz w:val="20"/>
                <w:szCs w:val="20"/>
              </w:rPr>
              <w:t>C1 20)</w:t>
            </w:r>
            <w:r w:rsidR="00597AEA">
              <w:rPr>
                <w:rFonts w:eastAsia="Calibri" w:cs="Times New Roman"/>
                <w:iCs/>
                <w:sz w:val="20"/>
                <w:szCs w:val="20"/>
              </w:rPr>
              <w:t>.</w:t>
            </w:r>
            <w:r w:rsidR="00A852F7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AC011C">
              <w:rPr>
                <w:rFonts w:eastAsia="Calibri" w:cs="Times New Roman"/>
                <w:iCs/>
                <w:sz w:val="20"/>
                <w:szCs w:val="20"/>
              </w:rPr>
              <w:t>La OTM</w:t>
            </w:r>
            <w:r w:rsidR="008E3409">
              <w:rPr>
                <w:rFonts w:eastAsia="Calibri" w:cs="Times New Roman"/>
                <w:iCs/>
                <w:sz w:val="20"/>
                <w:szCs w:val="20"/>
              </w:rPr>
              <w:t>, e</w:t>
            </w:r>
            <w:r w:rsidR="002B7BF5">
              <w:rPr>
                <w:rFonts w:eastAsia="Calibri" w:cs="Times New Roman"/>
                <w:iCs/>
                <w:sz w:val="20"/>
                <w:szCs w:val="20"/>
              </w:rPr>
              <w:t>n</w:t>
            </w:r>
            <w:r w:rsidR="008E3409">
              <w:rPr>
                <w:rFonts w:eastAsia="Calibri" w:cs="Times New Roman"/>
                <w:iCs/>
                <w:sz w:val="20"/>
                <w:szCs w:val="20"/>
              </w:rPr>
              <w:t xml:space="preserve"> su labor de impulsar la gobernanza y la participación </w:t>
            </w:r>
            <w:r w:rsidR="002B7BF5">
              <w:rPr>
                <w:rFonts w:eastAsia="Calibri" w:cs="Times New Roman"/>
                <w:iCs/>
                <w:sz w:val="20"/>
                <w:szCs w:val="20"/>
              </w:rPr>
              <w:t xml:space="preserve">pública, se </w:t>
            </w:r>
            <w:r w:rsidR="00AC011C">
              <w:rPr>
                <w:rFonts w:eastAsia="Calibri" w:cs="Times New Roman"/>
                <w:iCs/>
                <w:sz w:val="20"/>
                <w:szCs w:val="20"/>
              </w:rPr>
              <w:t>encargará de crear</w:t>
            </w:r>
            <w:r w:rsidR="002B7BF5">
              <w:rPr>
                <w:rFonts w:eastAsia="Calibri" w:cs="Times New Roman"/>
                <w:iCs/>
                <w:sz w:val="20"/>
                <w:szCs w:val="20"/>
              </w:rPr>
              <w:t xml:space="preserve"> y activar</w:t>
            </w:r>
            <w:r w:rsidR="00AC011C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2B7BF5">
              <w:rPr>
                <w:rFonts w:eastAsia="Calibri" w:cs="Times New Roman"/>
                <w:iCs/>
                <w:sz w:val="20"/>
                <w:szCs w:val="20"/>
              </w:rPr>
              <w:t xml:space="preserve">los siguientes </w:t>
            </w:r>
            <w:r w:rsidR="002258D3">
              <w:rPr>
                <w:rFonts w:eastAsia="Calibri" w:cs="Times New Roman"/>
                <w:iCs/>
                <w:sz w:val="20"/>
                <w:szCs w:val="20"/>
              </w:rPr>
              <w:t>3 órganos de gobernanza:</w:t>
            </w:r>
          </w:p>
          <w:p w:rsidR="00676040" w:rsidRDefault="00676040" w:rsidP="00A43851">
            <w:pPr>
              <w:numPr>
                <w:ilvl w:val="0"/>
                <w:numId w:val="1"/>
              </w:numPr>
              <w:spacing w:after="120" w:line="240" w:lineRule="auto"/>
              <w:ind w:left="464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676040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Comisión </w:t>
            </w:r>
            <w:r w:rsidR="00624A76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Municipal </w:t>
            </w:r>
            <w:r w:rsidR="00A43851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de Trabajo </w:t>
            </w:r>
            <w:r w:rsidRPr="00676040">
              <w:rPr>
                <w:rFonts w:eastAsia="Calibri" w:cstheme="minorHAnsi"/>
                <w:iCs/>
                <w:sz w:val="20"/>
                <w:szCs w:val="20"/>
                <w:u w:val="single"/>
              </w:rPr>
              <w:t>para el desarrollo de</w:t>
            </w:r>
            <w:r w:rsidR="00D3416A">
              <w:rPr>
                <w:rFonts w:eastAsia="Calibri" w:cstheme="minorHAnsi"/>
                <w:iCs/>
                <w:sz w:val="20"/>
                <w:szCs w:val="20"/>
                <w:u w:val="single"/>
              </w:rPr>
              <w:t>l</w:t>
            </w:r>
            <w:r w:rsidRPr="00676040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proyecto </w:t>
            </w:r>
            <w:r w:rsidR="00D3416A">
              <w:rPr>
                <w:rFonts w:eastAsia="Calibri" w:cstheme="minorHAnsi"/>
                <w:iCs/>
                <w:sz w:val="20"/>
                <w:szCs w:val="20"/>
                <w:u w:val="single"/>
              </w:rPr>
              <w:t>I</w:t>
            </w:r>
            <w:r w:rsidR="00D3416A" w:rsidRPr="00D3416A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VLA </w:t>
            </w:r>
            <w:r w:rsidR="00D3416A">
              <w:rPr>
                <w:rFonts w:eastAsia="Calibri" w:cstheme="minorHAnsi"/>
                <w:iCs/>
                <w:sz w:val="20"/>
                <w:szCs w:val="20"/>
                <w:u w:val="single"/>
              </w:rPr>
              <w:t>-</w:t>
            </w:r>
            <w:r w:rsidR="00D3416A" w:rsidRPr="00D3416A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Infraestructura Verde Local </w:t>
            </w:r>
            <w:r w:rsidR="00295237">
              <w:rPr>
                <w:rFonts w:eastAsia="Calibri" w:cstheme="minorHAnsi"/>
                <w:iCs/>
                <w:sz w:val="20"/>
                <w:szCs w:val="20"/>
                <w:u w:val="single"/>
              </w:rPr>
              <w:t>d</w:t>
            </w:r>
            <w:r w:rsidR="00D3416A" w:rsidRPr="00D3416A">
              <w:rPr>
                <w:rFonts w:eastAsia="Calibri" w:cstheme="minorHAnsi"/>
                <w:iCs/>
                <w:sz w:val="20"/>
                <w:szCs w:val="20"/>
                <w:u w:val="single"/>
              </w:rPr>
              <w:t>e Andújar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: Reúne a las 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lastRenderedPageBreak/>
              <w:t xml:space="preserve">distintas áreas municipales con competencias y responsabilidad en 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la gestión 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>y ejecución de los proyecto</w:t>
            </w:r>
            <w:r w:rsidR="00F2656F">
              <w:rPr>
                <w:rFonts w:eastAsia="Calibri" w:cstheme="minorHAnsi"/>
                <w:iCs/>
                <w:sz w:val="20"/>
                <w:szCs w:val="20"/>
              </w:rPr>
              <w:t>s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 xml:space="preserve"> del Plan de Reactivación Ecológica IVLA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590B49">
              <w:rPr>
                <w:rFonts w:eastAsia="Calibri" w:cstheme="minorHAnsi"/>
                <w:iCs/>
                <w:sz w:val="20"/>
                <w:szCs w:val="20"/>
              </w:rPr>
              <w:t>G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>rupos de trabajo</w:t>
            </w:r>
            <w:r w:rsidR="00590B49">
              <w:rPr>
                <w:rFonts w:eastAsia="Calibri" w:cstheme="minorHAnsi"/>
                <w:iCs/>
                <w:sz w:val="20"/>
                <w:szCs w:val="20"/>
              </w:rPr>
              <w:t xml:space="preserve"> conformado por</w:t>
            </w:r>
            <w:r w:rsidR="004B6B1D">
              <w:rPr>
                <w:rFonts w:eastAsia="Calibri" w:cstheme="minorHAnsi"/>
                <w:iCs/>
                <w:sz w:val="20"/>
                <w:szCs w:val="20"/>
              </w:rPr>
              <w:t xml:space="preserve"> p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ersonal técnico experto de las diferentes áreas 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>(U</w:t>
            </w:r>
            <w:r w:rsidR="00A43851">
              <w:rPr>
                <w:rFonts w:eastAsia="Calibri" w:cstheme="minorHAnsi"/>
                <w:iCs/>
                <w:sz w:val="20"/>
                <w:szCs w:val="20"/>
              </w:rPr>
              <w:t>rbanismo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>, Obras y</w:t>
            </w:r>
            <w:r w:rsidR="00A43851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>Servicios,</w:t>
            </w:r>
            <w:r w:rsidR="00A43851">
              <w:rPr>
                <w:rFonts w:eastAsia="Calibri" w:cstheme="minorHAnsi"/>
                <w:iCs/>
                <w:sz w:val="20"/>
                <w:szCs w:val="20"/>
              </w:rPr>
              <w:t xml:space="preserve"> Agricultura, Contratación</w:t>
            </w:r>
            <w:r w:rsidR="0099360C">
              <w:rPr>
                <w:rFonts w:eastAsia="Calibri" w:cstheme="minorHAnsi"/>
                <w:iCs/>
                <w:sz w:val="20"/>
                <w:szCs w:val="20"/>
              </w:rPr>
              <w:t>, intervención Recursos humanos</w:t>
            </w:r>
            <w:r w:rsidR="00A43851">
              <w:rPr>
                <w:rFonts w:eastAsia="Calibri" w:cstheme="minorHAnsi"/>
                <w:iCs/>
                <w:sz w:val="20"/>
                <w:szCs w:val="20"/>
              </w:rPr>
              <w:t>,…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 xml:space="preserve"> )</w:t>
            </w:r>
            <w:r w:rsidR="00A43851">
              <w:rPr>
                <w:rFonts w:eastAsia="Calibri" w:cstheme="minorHAnsi"/>
                <w:iCs/>
                <w:sz w:val="20"/>
                <w:szCs w:val="20"/>
              </w:rPr>
              <w:t xml:space="preserve"> que,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AC60C0">
              <w:rPr>
                <w:rFonts w:eastAsia="Calibri" w:cstheme="minorHAnsi"/>
                <w:iCs/>
                <w:sz w:val="20"/>
                <w:szCs w:val="20"/>
              </w:rPr>
              <w:t>en coordinación con la</w:t>
            </w:r>
            <w:r w:rsidR="00721D3F">
              <w:rPr>
                <w:rFonts w:eastAsia="Calibri" w:cstheme="minorHAnsi"/>
                <w:iCs/>
                <w:sz w:val="20"/>
                <w:szCs w:val="20"/>
              </w:rPr>
              <w:t xml:space="preserve"> OTM</w:t>
            </w:r>
            <w:r w:rsidR="00624A76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se encargará de </w:t>
            </w:r>
            <w:r w:rsidR="0088378A">
              <w:rPr>
                <w:rFonts w:eastAsia="Calibri" w:cstheme="minorHAnsi"/>
                <w:iCs/>
                <w:sz w:val="20"/>
                <w:szCs w:val="20"/>
              </w:rPr>
              <w:t xml:space="preserve">consensuar los proyecto técnicos, </w:t>
            </w:r>
            <w:r w:rsidR="00F2656F">
              <w:rPr>
                <w:rFonts w:eastAsia="Calibri" w:cstheme="minorHAnsi"/>
                <w:iCs/>
                <w:sz w:val="20"/>
                <w:szCs w:val="20"/>
              </w:rPr>
              <w:t xml:space="preserve">resolver dudas, agilizar los procesos, 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>asesorar y dar respaldo técnico</w:t>
            </w:r>
            <w:r w:rsidR="0088378A">
              <w:rPr>
                <w:rFonts w:eastAsia="Calibri" w:cstheme="minorHAnsi"/>
                <w:iCs/>
                <w:sz w:val="20"/>
                <w:szCs w:val="20"/>
              </w:rPr>
              <w:t>, jurídico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 y administrativo</w:t>
            </w:r>
            <w:r w:rsidR="0099360C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8E0FBB" w:rsidRDefault="00F2656F" w:rsidP="00F2656F">
            <w:pPr>
              <w:numPr>
                <w:ilvl w:val="0"/>
                <w:numId w:val="1"/>
              </w:numPr>
              <w:spacing w:after="120" w:line="240" w:lineRule="auto"/>
              <w:ind w:left="464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>Mesa Verde Ciudadana</w:t>
            </w:r>
            <w:r w:rsidR="00676040"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para el desarrollo de</w:t>
            </w:r>
            <w:r w:rsidR="00F149B1"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la IVLA - Infraestructura Verde Local de Andújar</w:t>
            </w:r>
            <w:r w:rsidR="00676040" w:rsidRPr="008E0FBB">
              <w:rPr>
                <w:rFonts w:eastAsia="Calibri" w:cstheme="minorHAnsi"/>
                <w:iCs/>
                <w:sz w:val="20"/>
                <w:szCs w:val="20"/>
              </w:rPr>
              <w:t xml:space="preserve">: Representa a los colectivos, organizaciones medioambientales y sectores con intereses en la zona. </w:t>
            </w:r>
            <w:r w:rsidR="0099360C" w:rsidRPr="008E0FBB">
              <w:rPr>
                <w:rFonts w:eastAsia="Calibri" w:cstheme="minorHAnsi"/>
                <w:iCs/>
                <w:sz w:val="20"/>
                <w:szCs w:val="20"/>
              </w:rPr>
              <w:t xml:space="preserve">Está encabezada por el Alcalde y Concejal Delegado. </w:t>
            </w:r>
            <w:r w:rsidRPr="008E0FBB">
              <w:rPr>
                <w:rFonts w:eastAsia="Calibri" w:cstheme="minorHAnsi"/>
                <w:iCs/>
                <w:sz w:val="20"/>
                <w:szCs w:val="20"/>
              </w:rPr>
              <w:t>Siendo su participación fundamental en el diseño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>, dimensionamiento</w:t>
            </w:r>
            <w:r w:rsidRPr="008E0FBB">
              <w:rPr>
                <w:rFonts w:eastAsia="Calibri" w:cstheme="minorHAnsi"/>
                <w:iCs/>
                <w:sz w:val="20"/>
                <w:szCs w:val="20"/>
              </w:rPr>
              <w:t xml:space="preserve"> y elaboración del Plan Infr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>a</w:t>
            </w:r>
            <w:r w:rsidRPr="008E0FBB">
              <w:rPr>
                <w:rFonts w:eastAsia="Calibri" w:cstheme="minorHAnsi"/>
                <w:iCs/>
                <w:sz w:val="20"/>
                <w:szCs w:val="20"/>
              </w:rPr>
              <w:t>es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>t</w:t>
            </w:r>
            <w:r w:rsidRPr="008E0FBB">
              <w:rPr>
                <w:rFonts w:eastAsia="Calibri" w:cstheme="minorHAnsi"/>
                <w:iCs/>
                <w:sz w:val="20"/>
                <w:szCs w:val="20"/>
              </w:rPr>
              <w:t>r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>u</w:t>
            </w:r>
            <w:r w:rsidRPr="008E0FBB">
              <w:rPr>
                <w:rFonts w:eastAsia="Calibri" w:cstheme="minorHAnsi"/>
                <w:iCs/>
                <w:sz w:val="20"/>
                <w:szCs w:val="20"/>
              </w:rPr>
              <w:t>cturas Verdes y Azules de And</w:t>
            </w:r>
            <w:r w:rsidR="0099360C" w:rsidRPr="008E0FBB">
              <w:rPr>
                <w:rFonts w:eastAsia="Calibri" w:cstheme="minorHAnsi"/>
                <w:iCs/>
                <w:sz w:val="20"/>
                <w:szCs w:val="20"/>
              </w:rPr>
              <w:t>újar (A1).</w:t>
            </w:r>
            <w:r w:rsidRPr="008E0FBB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 xml:space="preserve">Los agentes sociales actuarán </w:t>
            </w:r>
            <w:r w:rsidR="00BF4B6C" w:rsidRPr="008E0FBB">
              <w:rPr>
                <w:rFonts w:eastAsia="Calibri" w:cstheme="minorHAnsi"/>
                <w:iCs/>
                <w:sz w:val="20"/>
                <w:szCs w:val="20"/>
              </w:rPr>
              <w:t xml:space="preserve">como </w:t>
            </w:r>
            <w:r w:rsidR="00BF4B6C"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>verdaderos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sensores o alarmas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 xml:space="preserve"> que </w:t>
            </w:r>
            <w:r w:rsidR="00BF4B6C" w:rsidRPr="008E0FBB">
              <w:rPr>
                <w:rFonts w:eastAsia="Calibri" w:cstheme="minorHAnsi"/>
                <w:iCs/>
                <w:sz w:val="20"/>
                <w:szCs w:val="20"/>
              </w:rPr>
              <w:t>advertirán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4538EB" w:rsidRPr="008E0FBB">
              <w:rPr>
                <w:rFonts w:eastAsia="Calibri" w:cstheme="minorHAnsi"/>
                <w:iCs/>
                <w:sz w:val="20"/>
                <w:szCs w:val="20"/>
              </w:rPr>
              <w:t xml:space="preserve">y avisarán </w:t>
            </w:r>
            <w:r w:rsidR="00BF4B6C" w:rsidRPr="008E0FBB">
              <w:rPr>
                <w:rFonts w:eastAsia="Calibri" w:cstheme="minorHAnsi"/>
                <w:iCs/>
                <w:sz w:val="20"/>
                <w:szCs w:val="20"/>
              </w:rPr>
              <w:t xml:space="preserve">en el momento que 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>los proyecto</w:t>
            </w:r>
            <w:r w:rsidR="00BF4B6C" w:rsidRPr="008E0FBB">
              <w:rPr>
                <w:rFonts w:eastAsia="Calibri" w:cstheme="minorHAnsi"/>
                <w:iCs/>
                <w:sz w:val="20"/>
                <w:szCs w:val="20"/>
              </w:rPr>
              <w:t>s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 xml:space="preserve"> no respondan o se desvíen  de los estánd</w:t>
            </w:r>
            <w:r w:rsidR="00BF4B6C" w:rsidRPr="008E0FBB">
              <w:rPr>
                <w:rFonts w:eastAsia="Calibri" w:cstheme="minorHAnsi"/>
                <w:iCs/>
                <w:sz w:val="20"/>
                <w:szCs w:val="20"/>
              </w:rPr>
              <w:t>a</w:t>
            </w:r>
            <w:r w:rsidR="006344E5" w:rsidRPr="008E0FBB">
              <w:rPr>
                <w:rFonts w:eastAsia="Calibri" w:cstheme="minorHAnsi"/>
                <w:iCs/>
                <w:sz w:val="20"/>
                <w:szCs w:val="20"/>
              </w:rPr>
              <w:t>res de armonía y pertenencia vecinal fijados</w:t>
            </w:r>
            <w:r w:rsidR="008E0FBB" w:rsidRPr="008E0FBB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590B49" w:rsidRDefault="008E0FBB" w:rsidP="00F2656F">
            <w:pPr>
              <w:numPr>
                <w:ilvl w:val="0"/>
                <w:numId w:val="1"/>
              </w:numPr>
              <w:spacing w:after="120" w:line="240" w:lineRule="auto"/>
              <w:ind w:left="464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4B6B1D"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Grupo </w:t>
            </w:r>
            <w:r w:rsidR="00590B49" w:rsidRPr="008E0FBB">
              <w:rPr>
                <w:rFonts w:eastAsia="Calibri" w:cstheme="minorHAnsi"/>
                <w:iCs/>
                <w:sz w:val="20"/>
                <w:szCs w:val="20"/>
                <w:u w:val="single"/>
              </w:rPr>
              <w:t>Coordinación y agilización interadministrativa</w:t>
            </w:r>
            <w:r w:rsidR="00590B49" w:rsidRPr="008E0FBB">
              <w:rPr>
                <w:rFonts w:eastAsia="Calibri" w:cstheme="minorHAnsi"/>
                <w:iCs/>
                <w:sz w:val="20"/>
                <w:szCs w:val="20"/>
              </w:rPr>
              <w:t xml:space="preserve">: </w:t>
            </w:r>
            <w:r w:rsidR="004B6B1D" w:rsidRPr="008E0FBB">
              <w:rPr>
                <w:rFonts w:eastAsia="Calibri" w:cstheme="minorHAnsi"/>
                <w:iCs/>
                <w:sz w:val="20"/>
                <w:szCs w:val="20"/>
              </w:rPr>
              <w:t>el Ayuntamiento ha identificado a la Confederac</w:t>
            </w:r>
            <w:r w:rsidR="00B3017A">
              <w:rPr>
                <w:rFonts w:eastAsia="Calibri" w:cstheme="minorHAnsi"/>
                <w:iCs/>
                <w:sz w:val="20"/>
                <w:szCs w:val="20"/>
              </w:rPr>
              <w:t xml:space="preserve">ión Hidrográfica Guadalquivir, </w:t>
            </w:r>
            <w:r w:rsidR="004B6B1D" w:rsidRPr="008E0FBB">
              <w:rPr>
                <w:rFonts w:eastAsia="Calibri" w:cstheme="minorHAnsi"/>
                <w:iCs/>
                <w:sz w:val="20"/>
                <w:szCs w:val="20"/>
              </w:rPr>
              <w:t>a la Fundación biodiversidad</w:t>
            </w:r>
            <w:r w:rsidR="00B3017A">
              <w:rPr>
                <w:rFonts w:eastAsia="Calibri" w:cstheme="minorHAnsi"/>
                <w:iCs/>
                <w:sz w:val="20"/>
                <w:szCs w:val="20"/>
              </w:rPr>
              <w:t>, a la Junta de Andalucía</w:t>
            </w:r>
            <w:r w:rsidR="00FB3D8C">
              <w:rPr>
                <w:rFonts w:eastAsia="Calibri" w:cstheme="minorHAnsi"/>
                <w:iCs/>
                <w:sz w:val="20"/>
                <w:szCs w:val="20"/>
              </w:rPr>
              <w:t>, Asociación Multisectorial Jardinería Andalucía,..</w:t>
            </w:r>
            <w:r w:rsidR="004B6B1D" w:rsidRPr="008E0FBB">
              <w:rPr>
                <w:rFonts w:eastAsia="Calibri" w:cstheme="minorHAnsi"/>
                <w:iCs/>
                <w:sz w:val="20"/>
                <w:szCs w:val="20"/>
              </w:rPr>
              <w:t xml:space="preserve"> como las entidades </w:t>
            </w:r>
            <w:r w:rsidR="00FB3D8C">
              <w:rPr>
                <w:rFonts w:eastAsia="Calibri" w:cstheme="minorHAnsi"/>
                <w:iCs/>
                <w:sz w:val="20"/>
                <w:szCs w:val="20"/>
              </w:rPr>
              <w:t xml:space="preserve">externas </w:t>
            </w:r>
            <w:r w:rsidR="004B6B1D" w:rsidRPr="008E0FBB">
              <w:rPr>
                <w:rFonts w:eastAsia="Calibri" w:cstheme="minorHAnsi"/>
                <w:iCs/>
                <w:sz w:val="20"/>
                <w:szCs w:val="20"/>
              </w:rPr>
              <w:t xml:space="preserve">que más van a </w:t>
            </w:r>
            <w:r w:rsidR="00AC60C0" w:rsidRPr="008E0FBB">
              <w:rPr>
                <w:rFonts w:eastAsia="Calibri" w:cstheme="minorHAnsi"/>
                <w:iCs/>
                <w:sz w:val="20"/>
                <w:szCs w:val="20"/>
              </w:rPr>
              <w:t>intervenir en todo el proceso de gobernanza.</w:t>
            </w:r>
          </w:p>
          <w:p w:rsidR="003D565A" w:rsidRPr="003D565A" w:rsidRDefault="003D565A" w:rsidP="00480C96">
            <w:pP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</w:t>
            </w:r>
            <w:r w:rsidR="004551F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Actuación 1</w:t>
            </w:r>
            <w:r w:rsidR="002C2C8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 Constitución y creación NIVELES GOBERNANZA</w:t>
            </w:r>
            <w:r w:rsidR="00BB088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Y PARTICIPACIÓN</w:t>
            </w:r>
            <w:r w:rsidR="002C2C8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</w:t>
            </w:r>
            <w:r w:rsidR="00DB2AA1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D565A" w:rsidRPr="003D565A" w:rsidRDefault="003D565A" w:rsidP="00480C96">
            <w:pP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                     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1 </w:t>
            </w: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Oficina Técnica Municipal </w:t>
            </w:r>
            <w:r w:rsidR="007E614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OTM-</w:t>
            </w: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FEDER-IVLA</w:t>
            </w:r>
            <w:r w:rsidR="002A424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   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1 </w:t>
            </w: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Comisión</w:t>
            </w:r>
            <w:r w:rsidR="002A424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de trabajo m</w:t>
            </w: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unicipal</w:t>
            </w:r>
            <w:r w:rsidR="002A424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</w:p>
          <w:p w:rsidR="00894CBC" w:rsidRDefault="003D565A" w:rsidP="00E60EEA">
            <w:pPr>
              <w:pBdr>
                <w:bottom w:val="single" w:sz="6" w:space="1" w:color="auto"/>
              </w:pBd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                     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1 </w:t>
            </w:r>
            <w:r w:rsidRPr="003D565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Mesa Verde Ciudadana</w:t>
            </w:r>
            <w:r w:rsidR="002A424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  <w:r w:rsidR="00E60EE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AC60C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      1 Grupo trabajo interinstitucional: CHG, FB y </w:t>
            </w:r>
            <w:proofErr w:type="spellStart"/>
            <w:r w:rsidR="00AC60C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Ayto</w:t>
            </w:r>
            <w:proofErr w:type="spellEnd"/>
            <w:r w:rsidR="00AC60C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Andújar.</w:t>
            </w:r>
          </w:p>
          <w:p w:rsidR="00265AAC" w:rsidRPr="00676040" w:rsidRDefault="00326F29" w:rsidP="00480C96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</w:t>
            </w:r>
            <w:r w:rsidR="00894CB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uación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2) Análisis y </w:t>
            </w:r>
            <w:r w:rsidR="007A738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visión futura</w:t>
            </w:r>
            <w:r w:rsidR="00676040" w:rsidRPr="00676040">
              <w:rPr>
                <w:rFonts w:eastAsia="Calibri" w:cstheme="minorHAnsi"/>
                <w:iCs/>
                <w:sz w:val="20"/>
                <w:szCs w:val="20"/>
              </w:rPr>
              <w:t>: En esta fase</w:t>
            </w:r>
            <w:r w:rsidR="00637A25">
              <w:rPr>
                <w:rFonts w:eastAsia="Calibri" w:cstheme="minorHAnsi"/>
                <w:iCs/>
                <w:sz w:val="20"/>
                <w:szCs w:val="20"/>
              </w:rPr>
              <w:t>,</w:t>
            </w:r>
            <w:r w:rsidR="00511223">
              <w:rPr>
                <w:rFonts w:eastAsia="Calibri" w:cstheme="minorHAnsi"/>
                <w:iCs/>
                <w:sz w:val="20"/>
                <w:szCs w:val="20"/>
              </w:rPr>
              <w:t xml:space="preserve"> se alineará con la fase de elaboración </w:t>
            </w:r>
            <w:r w:rsidR="00A95D90">
              <w:rPr>
                <w:rFonts w:eastAsia="Calibri" w:cstheme="minorHAnsi"/>
                <w:iCs/>
                <w:sz w:val="20"/>
                <w:szCs w:val="20"/>
              </w:rPr>
              <w:t xml:space="preserve">y participación ciudadana </w:t>
            </w:r>
            <w:r w:rsidR="00511223">
              <w:rPr>
                <w:rFonts w:eastAsia="Calibri" w:cstheme="minorHAnsi"/>
                <w:iCs/>
                <w:sz w:val="20"/>
                <w:szCs w:val="20"/>
              </w:rPr>
              <w:t>del Plan de Infraestructura Verde y Azul de Andújar (Acción A1).</w:t>
            </w:r>
            <w:r w:rsidR="00676040" w:rsidRPr="00676040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511223" w:rsidRPr="00676040">
              <w:rPr>
                <w:rFonts w:eastAsia="Calibri" w:cstheme="minorHAnsi"/>
                <w:iCs/>
                <w:sz w:val="20"/>
                <w:szCs w:val="20"/>
              </w:rPr>
              <w:t>S</w:t>
            </w:r>
            <w:r w:rsidR="00676040" w:rsidRPr="00676040">
              <w:rPr>
                <w:rFonts w:eastAsia="Calibri" w:cstheme="minorHAnsi"/>
                <w:iCs/>
                <w:sz w:val="20"/>
                <w:szCs w:val="20"/>
              </w:rPr>
              <w:t>e expondrán los principales elementos de degradación y pérdida ecológica,</w:t>
            </w:r>
            <w:r w:rsidR="00D2659F">
              <w:rPr>
                <w:rFonts w:eastAsia="Calibri" w:cstheme="minorHAnsi"/>
                <w:iCs/>
                <w:sz w:val="20"/>
                <w:szCs w:val="20"/>
              </w:rPr>
              <w:t xml:space="preserve"> impactos antrópicos y efectos del </w:t>
            </w:r>
            <w:r w:rsidR="00676040" w:rsidRPr="00676040">
              <w:rPr>
                <w:rFonts w:eastAsia="Calibri" w:cstheme="minorHAnsi"/>
                <w:iCs/>
                <w:sz w:val="20"/>
                <w:szCs w:val="20"/>
              </w:rPr>
              <w:t>cambio climático</w:t>
            </w:r>
            <w:r w:rsidR="00D2659F">
              <w:rPr>
                <w:rFonts w:eastAsia="Calibri" w:cstheme="minorHAnsi"/>
                <w:iCs/>
                <w:sz w:val="20"/>
                <w:szCs w:val="20"/>
              </w:rPr>
              <w:t xml:space="preserve"> que afecta a la</w:t>
            </w:r>
            <w:r w:rsidR="00676040" w:rsidRPr="00676040">
              <w:rPr>
                <w:rFonts w:eastAsia="Calibri" w:cstheme="minorHAnsi"/>
                <w:iCs/>
                <w:sz w:val="20"/>
                <w:szCs w:val="20"/>
              </w:rPr>
              <w:t xml:space="preserve"> infraestructura verde </w:t>
            </w:r>
            <w:r w:rsidR="00964AA5">
              <w:rPr>
                <w:rFonts w:eastAsia="Calibri" w:cstheme="minorHAnsi"/>
                <w:iCs/>
                <w:sz w:val="20"/>
                <w:szCs w:val="20"/>
              </w:rPr>
              <w:t xml:space="preserve">local de Andújar. </w:t>
            </w:r>
            <w:r w:rsidR="00511223">
              <w:rPr>
                <w:rFonts w:eastAsia="Calibri" w:cstheme="minorHAnsi"/>
                <w:iCs/>
                <w:sz w:val="20"/>
                <w:szCs w:val="20"/>
              </w:rPr>
              <w:t>E</w:t>
            </w:r>
            <w:r w:rsidR="00D2659F">
              <w:rPr>
                <w:rFonts w:eastAsia="Calibri" w:cstheme="minorHAnsi"/>
                <w:iCs/>
                <w:sz w:val="20"/>
                <w:szCs w:val="20"/>
              </w:rPr>
              <w:t xml:space="preserve">n </w:t>
            </w:r>
            <w:r w:rsidR="008A5201">
              <w:rPr>
                <w:rFonts w:eastAsia="Calibri" w:cstheme="minorHAnsi"/>
                <w:iCs/>
                <w:sz w:val="20"/>
                <w:szCs w:val="20"/>
              </w:rPr>
              <w:t xml:space="preserve">línea con </w:t>
            </w:r>
            <w:r w:rsidR="00676040" w:rsidRPr="00676040">
              <w:rPr>
                <w:rFonts w:eastAsia="Calibri" w:cstheme="minorHAnsi"/>
                <w:iCs/>
                <w:sz w:val="20"/>
                <w:szCs w:val="20"/>
              </w:rPr>
              <w:t>la Estrategia Nacional de Infraestructura Verde, Conectividad y Restauración Ecológica</w:t>
            </w:r>
            <w:r w:rsidR="00676040" w:rsidRPr="00DD44ED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DD44ED" w:rsidRPr="00DD44ED">
              <w:rPr>
                <w:rFonts w:eastAsia="Calibri" w:cstheme="minorHAnsi"/>
                <w:iCs/>
                <w:sz w:val="20"/>
                <w:szCs w:val="20"/>
              </w:rPr>
              <w:t>Plan Director para la Mejora de la Conectividad Ecológica en Andalucía</w:t>
            </w:r>
            <w:r w:rsidR="00511223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265AAC">
              <w:rPr>
                <w:rFonts w:eastAsia="Calibri" w:cstheme="minorHAnsi"/>
                <w:iCs/>
                <w:sz w:val="20"/>
                <w:szCs w:val="20"/>
              </w:rPr>
              <w:t>En la segunda fase, se abordará el desarrollo a corto, medio y largo plazo y la visión conunta del proyecto de Reactivación E</w:t>
            </w:r>
            <w:r w:rsidR="00511223">
              <w:rPr>
                <w:rFonts w:eastAsia="Calibri" w:cstheme="minorHAnsi"/>
                <w:iCs/>
                <w:sz w:val="20"/>
                <w:szCs w:val="20"/>
              </w:rPr>
              <w:t xml:space="preserve">cológica d </w:t>
            </w:r>
            <w:proofErr w:type="spellStart"/>
            <w:r w:rsidR="00511223">
              <w:rPr>
                <w:rFonts w:eastAsia="Calibri" w:cstheme="minorHAnsi"/>
                <w:iCs/>
                <w:sz w:val="20"/>
                <w:szCs w:val="20"/>
              </w:rPr>
              <w:t>elas</w:t>
            </w:r>
            <w:proofErr w:type="spellEnd"/>
            <w:r w:rsidR="00511223">
              <w:rPr>
                <w:rFonts w:eastAsia="Calibri" w:cstheme="minorHAnsi"/>
                <w:iCs/>
                <w:sz w:val="20"/>
                <w:szCs w:val="20"/>
              </w:rPr>
              <w:t xml:space="preserve"> IVLA marcando á</w:t>
            </w:r>
            <w:r w:rsidR="00265AAC">
              <w:rPr>
                <w:rFonts w:eastAsia="Calibri" w:cstheme="minorHAnsi"/>
                <w:iCs/>
                <w:sz w:val="20"/>
                <w:szCs w:val="20"/>
              </w:rPr>
              <w:t>reas de actuación, prioridades y objetivos.</w:t>
            </w:r>
          </w:p>
          <w:p w:rsidR="00983166" w:rsidRDefault="00676040" w:rsidP="00480C96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Para analizar los escenarios futuros a los que se enfrenta la zona, así como las consecuencias de las distintas acciones a desarrollar, se realizarán </w:t>
            </w:r>
            <w:r w:rsidR="00265AAC" w:rsidRPr="005D1E29">
              <w:rPr>
                <w:rFonts w:eastAsia="Calibri" w:cstheme="minorHAnsi"/>
                <w:iCs/>
                <w:sz w:val="20"/>
                <w:szCs w:val="20"/>
                <w:u w:val="single"/>
              </w:rPr>
              <w:t>“</w:t>
            </w:r>
            <w:r w:rsidRPr="005D1E29">
              <w:rPr>
                <w:rFonts w:eastAsia="Calibri" w:cstheme="minorHAnsi"/>
                <w:iCs/>
                <w:sz w:val="20"/>
                <w:szCs w:val="20"/>
                <w:u w:val="single"/>
              </w:rPr>
              <w:t>talleres</w:t>
            </w:r>
            <w:r w:rsidR="00265AAC" w:rsidRPr="005D1E29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participación y análisis”</w:t>
            </w:r>
            <w:r w:rsidR="005D1E29">
              <w:rPr>
                <w:rFonts w:eastAsia="Calibri" w:cstheme="minorHAnsi"/>
                <w:iCs/>
                <w:sz w:val="20"/>
                <w:szCs w:val="20"/>
              </w:rPr>
              <w:t>.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983166">
              <w:rPr>
                <w:rFonts w:eastAsia="Calibri" w:cstheme="minorHAnsi"/>
                <w:iCs/>
                <w:sz w:val="20"/>
                <w:szCs w:val="20"/>
              </w:rPr>
              <w:t xml:space="preserve">Se </w:t>
            </w:r>
            <w:r w:rsidR="00265AAC">
              <w:rPr>
                <w:rFonts w:eastAsia="Calibri" w:cstheme="minorHAnsi"/>
                <w:iCs/>
                <w:sz w:val="20"/>
                <w:szCs w:val="20"/>
              </w:rPr>
              <w:t>utilizará</w:t>
            </w:r>
            <w:r w:rsidR="00983166">
              <w:rPr>
                <w:rFonts w:eastAsia="Calibri" w:cstheme="minorHAnsi"/>
                <w:iCs/>
                <w:sz w:val="20"/>
                <w:szCs w:val="20"/>
              </w:rPr>
              <w:t xml:space="preserve"> una metodología </w:t>
            </w:r>
            <w:r w:rsidR="000471DF">
              <w:rPr>
                <w:rFonts w:eastAsia="Calibri" w:cstheme="minorHAnsi"/>
                <w:iCs/>
                <w:sz w:val="20"/>
                <w:szCs w:val="20"/>
              </w:rPr>
              <w:t xml:space="preserve">cualitativa </w:t>
            </w:r>
            <w:r w:rsidR="00983166">
              <w:rPr>
                <w:rFonts w:eastAsia="Calibri" w:cstheme="minorHAnsi"/>
                <w:iCs/>
                <w:sz w:val="20"/>
                <w:szCs w:val="20"/>
              </w:rPr>
              <w:t xml:space="preserve">participativa, </w:t>
            </w:r>
            <w:r w:rsidR="000471DF">
              <w:rPr>
                <w:rFonts w:eastAsia="Calibri" w:cstheme="minorHAnsi"/>
                <w:iCs/>
                <w:sz w:val="20"/>
                <w:szCs w:val="20"/>
              </w:rPr>
              <w:t xml:space="preserve">con técnicas </w:t>
            </w:r>
            <w:r w:rsidR="008C197F">
              <w:rPr>
                <w:rFonts w:eastAsia="Calibri" w:cstheme="minorHAnsi"/>
                <w:iCs/>
                <w:sz w:val="20"/>
                <w:szCs w:val="20"/>
              </w:rPr>
              <w:t xml:space="preserve">de mapeo activo de escenarios </w:t>
            </w:r>
            <w:r w:rsidR="00983166">
              <w:rPr>
                <w:rFonts w:eastAsia="Calibri" w:cstheme="minorHAnsi"/>
                <w:iCs/>
                <w:sz w:val="20"/>
                <w:szCs w:val="20"/>
              </w:rPr>
              <w:t xml:space="preserve">y propositiva. </w:t>
            </w:r>
            <w:r w:rsidR="00110D98">
              <w:rPr>
                <w:rFonts w:eastAsia="Calibri" w:cstheme="minorHAnsi"/>
                <w:iCs/>
                <w:sz w:val="20"/>
                <w:szCs w:val="20"/>
              </w:rPr>
              <w:t xml:space="preserve">Se fijará el denominado </w:t>
            </w:r>
            <w:r w:rsidR="00110D98" w:rsidRPr="005D1E29">
              <w:rPr>
                <w:rFonts w:eastAsia="Calibri" w:cstheme="minorHAnsi"/>
                <w:iCs/>
                <w:sz w:val="20"/>
                <w:szCs w:val="20"/>
                <w:u w:val="single"/>
              </w:rPr>
              <w:t>“sensor social de alarma</w:t>
            </w:r>
            <w:r w:rsidR="00110D98">
              <w:rPr>
                <w:rFonts w:eastAsia="Calibri" w:cstheme="minorHAnsi"/>
                <w:iCs/>
                <w:sz w:val="20"/>
                <w:szCs w:val="20"/>
              </w:rPr>
              <w:t>” para identificar desviaciones o errores en el desarrollo del Proyecto IVLA.</w:t>
            </w:r>
            <w:r w:rsidR="00F43066">
              <w:rPr>
                <w:rFonts w:eastAsia="Calibri" w:cstheme="minorHAnsi"/>
                <w:iCs/>
                <w:sz w:val="20"/>
                <w:szCs w:val="20"/>
              </w:rPr>
              <w:t xml:space="preserve"> Se </w:t>
            </w:r>
            <w:r w:rsidR="00F43066" w:rsidRPr="00433547">
              <w:rPr>
                <w:rFonts w:eastAsia="Calibri" w:cstheme="minorHAnsi"/>
                <w:iCs/>
                <w:sz w:val="20"/>
                <w:szCs w:val="20"/>
                <w:u w:val="single"/>
              </w:rPr>
              <w:t>actuali</w:t>
            </w:r>
            <w:r w:rsidR="00433547" w:rsidRPr="00433547">
              <w:rPr>
                <w:rFonts w:eastAsia="Calibri" w:cstheme="minorHAnsi"/>
                <w:iCs/>
                <w:sz w:val="20"/>
                <w:szCs w:val="20"/>
                <w:u w:val="single"/>
              </w:rPr>
              <w:t>z</w:t>
            </w:r>
            <w:r w:rsidR="00F43066" w:rsidRPr="00433547">
              <w:rPr>
                <w:rFonts w:eastAsia="Calibri" w:cstheme="minorHAnsi"/>
                <w:iCs/>
                <w:sz w:val="20"/>
                <w:szCs w:val="20"/>
                <w:u w:val="single"/>
              </w:rPr>
              <w:t>arán las Ordenanzas Municipales de Protección Parques y</w:t>
            </w:r>
            <w:r w:rsidR="00433547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J</w:t>
            </w:r>
            <w:r w:rsidR="00F43066" w:rsidRPr="00433547">
              <w:rPr>
                <w:rFonts w:eastAsia="Calibri" w:cstheme="minorHAnsi"/>
                <w:iCs/>
                <w:sz w:val="20"/>
                <w:szCs w:val="20"/>
                <w:u w:val="single"/>
              </w:rPr>
              <w:t>ardines</w:t>
            </w:r>
            <w:r w:rsidR="00F43066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D2659F" w:rsidRPr="00D2659F" w:rsidRDefault="00D2659F" w:rsidP="00480C96">
            <w:pPr>
              <w:pBdr>
                <w:bottom w:val="single" w:sz="6" w:space="1" w:color="auto"/>
              </w:pBd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D2659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Resultados Actuación 2: </w:t>
            </w:r>
            <w:r w:rsidR="000116D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Realización dos (</w:t>
            </w:r>
            <w:r w:rsidR="00983166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2</w:t>
            </w:r>
            <w:r w:rsidR="000116D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)</w:t>
            </w:r>
            <w:r w:rsidR="00983166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Talleres de Participación y Análisis</w:t>
            </w:r>
            <w:r w:rsidR="00324E9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;</w:t>
            </w:r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integración voz vecinal en el</w:t>
            </w:r>
            <w:r w:rsidR="002A424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Plan Estratégico Infraestructura Verde</w:t>
            </w:r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 Identificación sensores vecinales y sociales de alarma.</w:t>
            </w:r>
            <w:r w:rsidR="0043354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Adaptación Ordenanzas Municipales Zonas Verdes.</w:t>
            </w:r>
          </w:p>
          <w:p w:rsidR="00DD1ECD" w:rsidRDefault="00676040" w:rsidP="008D49B2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</w:t>
            </w:r>
            <w:r w:rsidR="00894CB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uación</w:t>
            </w:r>
            <w:r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7A738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3</w:t>
            </w:r>
            <w:r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) </w:t>
            </w:r>
            <w:r w:rsidR="0020630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Proceso de gobernanza, p</w:t>
            </w:r>
            <w:r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articipación y comunicación </w:t>
            </w:r>
            <w:r w:rsidR="00CA4AA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de</w:t>
            </w:r>
            <w:r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las acciones </w:t>
            </w:r>
            <w:r w:rsidR="00676C1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d</w:t>
            </w:r>
            <w:r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el proyecto </w:t>
            </w:r>
            <w:r w:rsidR="00B425B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IVLA</w:t>
            </w:r>
            <w:r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</w:t>
            </w:r>
            <w:r w:rsidRPr="00676040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F03845">
              <w:rPr>
                <w:rFonts w:eastAsia="Calibri" w:cstheme="minorHAnsi"/>
                <w:iCs/>
                <w:sz w:val="20"/>
                <w:szCs w:val="20"/>
              </w:rPr>
              <w:t>L</w:t>
            </w:r>
            <w:r w:rsidR="00B33B3D">
              <w:rPr>
                <w:rFonts w:eastAsia="Calibri" w:cstheme="minorHAnsi"/>
                <w:iCs/>
                <w:sz w:val="20"/>
                <w:szCs w:val="20"/>
              </w:rPr>
              <w:t xml:space="preserve">a OTM se encargará de convocar la </w:t>
            </w:r>
            <w:r w:rsidR="00B33B3D" w:rsidRPr="006E290D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Comisión</w:t>
            </w:r>
            <w:r w:rsidR="008D4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0E033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Municipal </w:t>
            </w:r>
            <w:r w:rsidR="00F03845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con </w:t>
            </w:r>
            <w:proofErr w:type="spellStart"/>
            <w:r w:rsidR="00F03845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perioricidad</w:t>
            </w:r>
            <w:proofErr w:type="spellEnd"/>
            <w:r w:rsidR="00F03845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0E033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cuatrimestral</w:t>
            </w:r>
            <w:r w:rsidR="000E0333" w:rsidRPr="006E290D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0E0333">
              <w:rPr>
                <w:rFonts w:eastAsia="Calibri" w:cstheme="minorHAnsi"/>
                <w:iCs/>
                <w:sz w:val="20"/>
                <w:szCs w:val="20"/>
              </w:rPr>
              <w:t>y</w:t>
            </w:r>
            <w:r w:rsidR="00B33B3D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A04D88">
              <w:rPr>
                <w:rFonts w:eastAsia="Calibri" w:cstheme="minorHAnsi"/>
                <w:iCs/>
                <w:sz w:val="20"/>
                <w:szCs w:val="20"/>
              </w:rPr>
              <w:t xml:space="preserve">la </w:t>
            </w:r>
            <w:r w:rsidR="00A04D88" w:rsidRPr="00A04D8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Mesa Verde Ciudadana</w:t>
            </w:r>
            <w:r w:rsidR="004F204C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F03845" w:rsidRPr="00F03845">
              <w:rPr>
                <w:rFonts w:eastAsia="Calibri" w:cstheme="minorHAnsi"/>
                <w:b/>
                <w:iCs/>
                <w:sz w:val="20"/>
                <w:szCs w:val="20"/>
              </w:rPr>
              <w:t>de forma</w:t>
            </w:r>
            <w:r w:rsidR="00F03845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A43438" w:rsidRPr="00A4343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semestral</w:t>
            </w:r>
            <w:r w:rsidR="000E5A76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F03845">
              <w:rPr>
                <w:rFonts w:eastAsia="Calibri" w:cstheme="minorHAnsi"/>
                <w:iCs/>
                <w:sz w:val="20"/>
                <w:szCs w:val="20"/>
              </w:rPr>
              <w:t xml:space="preserve">Con independencia que puedan reunirse cuando las circunstancias así lo exijan para imprimir mayor agilidad y claridad al proceso. </w:t>
            </w:r>
            <w:r w:rsidR="000E5A76">
              <w:rPr>
                <w:rFonts w:eastAsia="Calibri" w:cstheme="minorHAnsi"/>
                <w:iCs/>
                <w:sz w:val="20"/>
                <w:szCs w:val="20"/>
              </w:rPr>
              <w:t xml:space="preserve">En ellos se pondrán en común avances, se analizarán </w:t>
            </w:r>
            <w:r w:rsidR="002758C6">
              <w:rPr>
                <w:rFonts w:eastAsia="Calibri" w:cstheme="minorHAnsi"/>
                <w:iCs/>
                <w:sz w:val="20"/>
                <w:szCs w:val="20"/>
              </w:rPr>
              <w:t>las demandas y aspiraciones de</w:t>
            </w:r>
            <w:r w:rsidR="000E0333">
              <w:rPr>
                <w:rFonts w:eastAsia="Calibri" w:cstheme="minorHAnsi"/>
                <w:iCs/>
                <w:sz w:val="20"/>
                <w:szCs w:val="20"/>
              </w:rPr>
              <w:t xml:space="preserve"> los procesos participativos </w:t>
            </w:r>
            <w:r w:rsidR="002758C6">
              <w:rPr>
                <w:rFonts w:eastAsia="Calibri" w:cstheme="minorHAnsi"/>
                <w:iCs/>
                <w:sz w:val="20"/>
                <w:szCs w:val="20"/>
              </w:rPr>
              <w:t>y se buscarán sinergias para alcanzar el objetivo final del proyecto.</w:t>
            </w:r>
          </w:p>
          <w:p w:rsidR="00F03845" w:rsidRDefault="0056679F" w:rsidP="0056679F">
            <w:pP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 Actuación 2</w:t>
            </w:r>
            <w:r w:rsidR="00D750B7"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: </w:t>
            </w:r>
          </w:p>
          <w:p w:rsidR="00D750B7" w:rsidRPr="00676040" w:rsidRDefault="00D750B7" w:rsidP="00D750B7">
            <w:pPr>
              <w:spacing w:after="120" w:line="240" w:lineRule="auto"/>
              <w:ind w:left="464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1 reunión </w:t>
            </w:r>
            <w:r w:rsidR="008D4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cua</w:t>
            </w:r>
            <w:r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trimestral </w:t>
            </w:r>
            <w:r w:rsidR="008D4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Comisión </w:t>
            </w:r>
            <w:r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con levantamiento de acta; en total </w:t>
            </w:r>
            <w:r w:rsidR="000E033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9</w:t>
            </w:r>
            <w:r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reuniones de trabajo</w:t>
            </w:r>
            <w:r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D750B7" w:rsidRDefault="006F188F" w:rsidP="00D750B7">
            <w:pPr>
              <w:pBdr>
                <w:bottom w:val="single" w:sz="6" w:space="1" w:color="auto"/>
              </w:pBdr>
              <w:spacing w:after="120" w:line="240" w:lineRule="auto"/>
              <w:ind w:left="464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1 reunión semestral con levantamiento de acta: en total </w:t>
            </w:r>
            <w:r w:rsidR="00D750B7"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6 Reuniones de la Mesa Verde: análisis previo de cada proyecto </w:t>
            </w:r>
            <w:r w:rsidR="0007796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t</w:t>
            </w:r>
            <w:r w:rsidR="00D750B7"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écnico, visitas inspección a las </w:t>
            </w:r>
            <w:r w:rsidR="00D750B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D750B7"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obras de ejecu</w:t>
            </w:r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ción, evaluación de resultados, </w:t>
            </w:r>
            <w:r w:rsidR="00EC7E5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sensor social de </w:t>
            </w:r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desvíos o </w:t>
            </w:r>
            <w:proofErr w:type="gramStart"/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alarmas </w:t>
            </w:r>
            <w:r w:rsidR="00EC7E5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,</w:t>
            </w:r>
            <w:proofErr w:type="gramEnd"/>
            <w:r w:rsidR="00EC7E5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…</w:t>
            </w:r>
          </w:p>
          <w:p w:rsidR="00841D40" w:rsidRDefault="00894CBC" w:rsidP="000E0333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Actuación</w:t>
            </w:r>
            <w:r w:rsidR="00676040"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7B7C6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4</w:t>
            </w:r>
            <w:r w:rsidR="00676040"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). Firma del </w:t>
            </w:r>
            <w:r w:rsidR="007C2C7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C</w:t>
            </w:r>
            <w:r w:rsidR="00676040"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ompromiso </w:t>
            </w:r>
            <w:r w:rsidR="00764B2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Conjunto </w:t>
            </w:r>
            <w:r w:rsidR="00676040" w:rsidRPr="006760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sobre el desarrollo del proyecto </w:t>
            </w:r>
            <w:r w:rsidR="00440946" w:rsidRPr="00440946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IVLA - Infraestructura Verde Local de Andújar</w:t>
            </w:r>
            <w:r w:rsidR="00676040" w:rsidRPr="00440946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</w:t>
            </w:r>
            <w:r w:rsidR="00676040" w:rsidRPr="00676040">
              <w:rPr>
                <w:rFonts w:eastAsia="Calibri" w:cstheme="minorHAnsi"/>
                <w:iCs/>
                <w:sz w:val="20"/>
                <w:szCs w:val="20"/>
              </w:rPr>
              <w:t xml:space="preserve"> Esta actuación cierra el proceso de gobernanza mediante la firma del Compromiso por la consolidación del proyecto. Este acuerdo debe considerarse un instrumento a largo plazo para el desempeño de la gobernanza </w:t>
            </w:r>
            <w:r w:rsidR="003B274A">
              <w:rPr>
                <w:rFonts w:eastAsia="Calibri" w:cstheme="minorHAnsi"/>
                <w:iCs/>
                <w:sz w:val="20"/>
                <w:szCs w:val="20"/>
              </w:rPr>
              <w:t xml:space="preserve">durante el </w:t>
            </w:r>
            <w:r w:rsidR="00D13CFC">
              <w:rPr>
                <w:rFonts w:eastAsia="Calibri" w:cstheme="minorHAnsi"/>
                <w:iCs/>
                <w:sz w:val="20"/>
                <w:szCs w:val="20"/>
              </w:rPr>
              <w:t>periodo</w:t>
            </w:r>
            <w:r w:rsidR="003B274A">
              <w:rPr>
                <w:rFonts w:eastAsia="Calibri" w:cstheme="minorHAnsi"/>
                <w:iCs/>
                <w:sz w:val="20"/>
                <w:szCs w:val="20"/>
              </w:rPr>
              <w:t xml:space="preserve"> de </w:t>
            </w:r>
            <w:r w:rsidR="00D13CFC">
              <w:rPr>
                <w:rFonts w:eastAsia="Calibri" w:cstheme="minorHAnsi"/>
                <w:iCs/>
                <w:sz w:val="20"/>
                <w:szCs w:val="20"/>
              </w:rPr>
              <w:t xml:space="preserve">ejecución </w:t>
            </w:r>
            <w:r w:rsidR="003B274A">
              <w:rPr>
                <w:rFonts w:eastAsia="Calibri" w:cstheme="minorHAnsi"/>
                <w:iCs/>
                <w:sz w:val="20"/>
                <w:szCs w:val="20"/>
              </w:rPr>
              <w:t>del proyecto</w:t>
            </w:r>
            <w:r w:rsidR="00D13CFC">
              <w:rPr>
                <w:rFonts w:eastAsia="Calibri" w:cstheme="minorHAnsi"/>
                <w:iCs/>
                <w:sz w:val="20"/>
                <w:szCs w:val="20"/>
              </w:rPr>
              <w:t xml:space="preserve"> Reactivación Ecológica de la IVLA de Andújar.</w:t>
            </w:r>
            <w:r w:rsidR="003B274A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0E0333" w:rsidRDefault="000E0333" w:rsidP="000E0333">
            <w:pPr>
              <w:pBdr>
                <w:bottom w:val="single" w:sz="6" w:space="1" w:color="auto"/>
              </w:pBd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0E033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Resultado esperado: </w:t>
            </w:r>
            <w:r w:rsidR="00D13CF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Redacción del Compromiso </w:t>
            </w:r>
            <w:r w:rsidR="00764B2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Conjunto </w:t>
            </w:r>
            <w:r w:rsidR="00D13CF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y firma por todos los interv</w:t>
            </w:r>
            <w:r w:rsidR="007B7C6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i</w:t>
            </w:r>
            <w:r w:rsidR="00D13CF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nientes (</w:t>
            </w:r>
            <w:r w:rsidR="007B7C6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Alcalde, Concejales, </w:t>
            </w:r>
            <w:r w:rsidR="00D13CF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Agentes Sociales</w:t>
            </w:r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, Mesa Verde, FB, CHG, Asociacio</w:t>
            </w:r>
            <w:r w:rsidR="00D13CF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n</w:t>
            </w:r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e</w:t>
            </w:r>
            <w:r w:rsidR="00D13CF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s Vecinales,…)</w:t>
            </w:r>
            <w:r w:rsidR="00110D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</w:p>
          <w:p w:rsidR="00433547" w:rsidRDefault="00433547" w:rsidP="000E0333">
            <w:pPr>
              <w:pBdr>
                <w:bottom w:val="single" w:sz="6" w:space="1" w:color="auto"/>
              </w:pBd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</w:p>
          <w:p w:rsidR="00B3017A" w:rsidRDefault="00B3017A" w:rsidP="000E0333">
            <w:pPr>
              <w:pBdr>
                <w:bottom w:val="single" w:sz="6" w:space="1" w:color="auto"/>
              </w:pBd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lastRenderedPageBreak/>
              <w:t>Actuación 5</w:t>
            </w:r>
            <w:r w:rsidR="0043354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) Convocatoria</w:t>
            </w:r>
            <w:r w:rsidR="008039D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Ayudas y</w:t>
            </w:r>
            <w:r w:rsidR="0043354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Premio </w:t>
            </w:r>
            <w:r w:rsidR="008039D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“</w:t>
            </w:r>
            <w:r w:rsidR="0043354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Balcones vegetales y Rincones Florales Andaluces</w:t>
            </w:r>
            <w:r w:rsidR="008039D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”</w:t>
            </w:r>
            <w:r w:rsidR="0043354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 abierto a comunidades, asociaciones, p</w:t>
            </w:r>
            <w:r w:rsidR="000C630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articulares, poblados,…</w:t>
            </w:r>
          </w:p>
          <w:p w:rsidR="00841D40" w:rsidRDefault="00841D40" w:rsidP="000300AB">
            <w:pPr>
              <w:spacing w:after="120" w:line="240" w:lineRule="auto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TRANSVERSALIDAD DE LA </w:t>
            </w:r>
            <w:r w:rsidRPr="00841D4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PERSPECTIVA DE GÉNERO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EN LA GOBERNANZA</w:t>
            </w:r>
          </w:p>
          <w:p w:rsidR="00841D40" w:rsidRPr="002C2C11" w:rsidRDefault="00D9387C" w:rsidP="007C2C72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En </w:t>
            </w:r>
            <w:r w:rsidR="00DD1416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 1)</w:t>
            </w:r>
            <w:r w:rsidR="00BD0214">
              <w:rPr>
                <w:rFonts w:eastAsia="Calibri" w:cstheme="minorHAnsi"/>
                <w:iCs/>
                <w:sz w:val="20"/>
                <w:szCs w:val="20"/>
              </w:rPr>
              <w:t xml:space="preserve"> Se buscará siempre la </w:t>
            </w:r>
            <w:r w:rsidR="00BD0214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>paridad en la composición de los órganos</w:t>
            </w:r>
            <w:r w:rsidR="007E614B">
              <w:rPr>
                <w:rFonts w:eastAsia="Calibri" w:cstheme="minorHAnsi"/>
                <w:iCs/>
                <w:sz w:val="20"/>
                <w:szCs w:val="20"/>
              </w:rPr>
              <w:t xml:space="preserve"> y niveles  de gobernanza y participación (OTM, Comisión, Mesa, Grupo de trabajo) </w:t>
            </w:r>
            <w:r w:rsidR="00BD0214">
              <w:rPr>
                <w:rFonts w:eastAsia="Calibri" w:cstheme="minorHAnsi"/>
                <w:iCs/>
                <w:sz w:val="20"/>
                <w:szCs w:val="20"/>
              </w:rPr>
              <w:t xml:space="preserve"> así c</w:t>
            </w:r>
            <w:r w:rsidR="002C2C11">
              <w:rPr>
                <w:rFonts w:eastAsia="Calibri" w:cstheme="minorHAnsi"/>
                <w:iCs/>
                <w:sz w:val="20"/>
                <w:szCs w:val="20"/>
              </w:rPr>
              <w:t>omo de entidades y asociaciones que trabajen en el proyecto. S</w:t>
            </w:r>
            <w:r w:rsidR="00857A31">
              <w:rPr>
                <w:rFonts w:eastAsia="Calibri" w:cstheme="minorHAnsi"/>
                <w:iCs/>
                <w:sz w:val="20"/>
                <w:szCs w:val="20"/>
              </w:rPr>
              <w:t xml:space="preserve">e contará explícitamente con </w:t>
            </w:r>
            <w:r w:rsidR="00857A31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>una figura</w:t>
            </w:r>
            <w:r w:rsidR="002C2C11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, Técnico </w:t>
            </w:r>
            <w:r w:rsidR="00EF2C9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adscrito a la </w:t>
            </w:r>
            <w:r w:rsidR="002C2C11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>OTM</w:t>
            </w:r>
            <w:r w:rsidR="00EF2C9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="00EF2C9E">
              <w:rPr>
                <w:rFonts w:eastAsia="Calibri" w:cstheme="minorHAnsi"/>
                <w:iCs/>
                <w:sz w:val="20"/>
                <w:szCs w:val="20"/>
                <w:u w:val="single"/>
              </w:rPr>
              <w:t>Feder</w:t>
            </w:r>
            <w:proofErr w:type="spellEnd"/>
            <w:r w:rsidR="002C2C11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>,</w:t>
            </w:r>
            <w:r w:rsidR="00857A31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que incorpore </w:t>
            </w:r>
            <w:r w:rsidR="00CE7C5B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>esta perspectiva</w:t>
            </w:r>
            <w:r w:rsidR="00CD14D8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de género</w:t>
            </w:r>
            <w:r w:rsidR="00676C27" w:rsidRPr="002C2C11">
              <w:rPr>
                <w:rFonts w:eastAsia="Calibri" w:cstheme="minorHAnsi"/>
                <w:iCs/>
                <w:sz w:val="20"/>
                <w:szCs w:val="20"/>
                <w:u w:val="single"/>
              </w:rPr>
              <w:t>.</w:t>
            </w:r>
          </w:p>
          <w:p w:rsidR="00A132D7" w:rsidRDefault="00D9387C" w:rsidP="007C2C72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En </w:t>
            </w:r>
            <w:r w:rsidR="00CE7C5B" w:rsidRPr="003470E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 2)</w:t>
            </w:r>
            <w:r w:rsidR="00CE7C5B" w:rsidRPr="00CE7C5B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830734">
              <w:rPr>
                <w:rFonts w:eastAsia="Calibri" w:cstheme="minorHAnsi"/>
                <w:iCs/>
                <w:sz w:val="20"/>
                <w:szCs w:val="20"/>
              </w:rPr>
              <w:t>En el análisis y</w:t>
            </w:r>
            <w:r w:rsidR="00CE7C5B">
              <w:rPr>
                <w:rFonts w:eastAsia="Calibri" w:cstheme="minorHAnsi"/>
                <w:iCs/>
                <w:sz w:val="20"/>
                <w:szCs w:val="20"/>
              </w:rPr>
              <w:t xml:space="preserve"> diagnóstico de </w:t>
            </w:r>
            <w:r w:rsidR="00830734">
              <w:rPr>
                <w:rFonts w:eastAsia="Calibri" w:cstheme="minorHAnsi"/>
                <w:iCs/>
                <w:sz w:val="20"/>
                <w:szCs w:val="20"/>
              </w:rPr>
              <w:t xml:space="preserve">la infraestructura verde de </w:t>
            </w:r>
            <w:r w:rsidR="00B129A9">
              <w:rPr>
                <w:rFonts w:eastAsia="Calibri" w:cstheme="minorHAnsi"/>
                <w:iCs/>
                <w:sz w:val="20"/>
                <w:szCs w:val="20"/>
              </w:rPr>
              <w:t>Andújar</w:t>
            </w:r>
            <w:r w:rsidR="00927EEB">
              <w:rPr>
                <w:rFonts w:eastAsia="Calibri" w:cstheme="minorHAnsi"/>
                <w:iCs/>
                <w:sz w:val="20"/>
                <w:szCs w:val="20"/>
              </w:rPr>
              <w:t xml:space="preserve"> se </w:t>
            </w:r>
            <w:r w:rsidR="00B129A9">
              <w:rPr>
                <w:rFonts w:eastAsia="Calibri" w:cstheme="minorHAnsi"/>
                <w:iCs/>
                <w:sz w:val="20"/>
                <w:szCs w:val="20"/>
              </w:rPr>
              <w:t>tendrá p</w:t>
            </w:r>
            <w:r w:rsidR="002C2C11">
              <w:rPr>
                <w:rFonts w:eastAsia="Calibri" w:cstheme="minorHAnsi"/>
                <w:iCs/>
                <w:sz w:val="20"/>
                <w:szCs w:val="20"/>
              </w:rPr>
              <w:t>resente la perspectiva de género analizan</w:t>
            </w:r>
            <w:r w:rsidR="00A132D7">
              <w:rPr>
                <w:rFonts w:eastAsia="Calibri" w:cstheme="minorHAnsi"/>
                <w:iCs/>
                <w:sz w:val="20"/>
                <w:szCs w:val="20"/>
              </w:rPr>
              <w:t>do</w:t>
            </w:r>
            <w:r w:rsidR="00927EEB">
              <w:rPr>
                <w:rFonts w:eastAsia="Calibri" w:cstheme="minorHAnsi"/>
                <w:iCs/>
                <w:sz w:val="20"/>
                <w:szCs w:val="20"/>
              </w:rPr>
              <w:t xml:space="preserve"> de qué manera </w:t>
            </w:r>
            <w:r w:rsidR="00A334DF">
              <w:rPr>
                <w:rFonts w:eastAsia="Calibri" w:cstheme="minorHAnsi"/>
                <w:iCs/>
                <w:sz w:val="20"/>
                <w:szCs w:val="20"/>
              </w:rPr>
              <w:t xml:space="preserve">existe una </w:t>
            </w:r>
            <w:r w:rsidR="00106EE0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>segregación</w:t>
            </w:r>
            <w:r w:rsidR="00A334DF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entre hombres y mujeres</w:t>
            </w:r>
            <w:r w:rsidR="00000A7C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e</w:t>
            </w:r>
            <w:r w:rsidR="00A334DF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>n el uso de</w:t>
            </w:r>
            <w:r w:rsidR="00000A7C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A334DF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>l</w:t>
            </w:r>
            <w:r w:rsidR="00000A7C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>a</w:t>
            </w:r>
            <w:r w:rsidR="00A334DF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infraestructura verde</w:t>
            </w:r>
            <w:r w:rsidR="00000A7C">
              <w:rPr>
                <w:rFonts w:eastAsia="Calibri" w:cstheme="minorHAnsi"/>
                <w:iCs/>
                <w:sz w:val="20"/>
                <w:szCs w:val="20"/>
              </w:rPr>
              <w:t xml:space="preserve"> (</w:t>
            </w:r>
            <w:r w:rsidR="004952F7">
              <w:rPr>
                <w:rFonts w:eastAsia="Calibri" w:cstheme="minorHAnsi"/>
                <w:iCs/>
                <w:sz w:val="20"/>
                <w:szCs w:val="20"/>
              </w:rPr>
              <w:t>esparcimiento,</w:t>
            </w:r>
            <w:r w:rsidR="00D44244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DA5A7A">
              <w:rPr>
                <w:rFonts w:eastAsia="Calibri" w:cstheme="minorHAnsi"/>
                <w:iCs/>
                <w:sz w:val="20"/>
                <w:szCs w:val="20"/>
              </w:rPr>
              <w:t xml:space="preserve">ejes de </w:t>
            </w:r>
            <w:r w:rsidR="00D44244">
              <w:rPr>
                <w:rFonts w:eastAsia="Calibri" w:cstheme="minorHAnsi"/>
                <w:iCs/>
                <w:sz w:val="20"/>
                <w:szCs w:val="20"/>
              </w:rPr>
              <w:t xml:space="preserve">movilidad, acceso por barrios, etc.), así como la clara </w:t>
            </w:r>
            <w:r w:rsidR="00106EE0">
              <w:rPr>
                <w:rFonts w:eastAsia="Calibri" w:cstheme="minorHAnsi"/>
                <w:iCs/>
                <w:sz w:val="20"/>
                <w:szCs w:val="20"/>
              </w:rPr>
              <w:t xml:space="preserve">diferenciación en términos de </w:t>
            </w:r>
            <w:r w:rsidR="00106EE0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>percepción</w:t>
            </w:r>
            <w:r w:rsidR="00F70E12" w:rsidRPr="00A132D7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de las zonas verdes</w:t>
            </w:r>
            <w:r w:rsidR="00F70E12">
              <w:rPr>
                <w:rFonts w:eastAsia="Calibri" w:cstheme="minorHAnsi"/>
                <w:iCs/>
                <w:sz w:val="20"/>
                <w:szCs w:val="20"/>
              </w:rPr>
              <w:t xml:space="preserve">, trabajando principalmente en </w:t>
            </w:r>
            <w:r w:rsidR="00B26DB5">
              <w:rPr>
                <w:rFonts w:eastAsia="Calibri" w:cstheme="minorHAnsi"/>
                <w:iCs/>
                <w:sz w:val="20"/>
                <w:szCs w:val="20"/>
              </w:rPr>
              <w:t xml:space="preserve">torno a la </w:t>
            </w:r>
            <w:r w:rsidR="00106EE0">
              <w:rPr>
                <w:rFonts w:eastAsia="Calibri" w:cstheme="minorHAnsi"/>
                <w:iCs/>
                <w:sz w:val="20"/>
                <w:szCs w:val="20"/>
              </w:rPr>
              <w:t>seguridad</w:t>
            </w:r>
            <w:r w:rsidR="00B26DB5">
              <w:rPr>
                <w:rFonts w:eastAsia="Calibri" w:cstheme="minorHAnsi"/>
                <w:iCs/>
                <w:sz w:val="20"/>
                <w:szCs w:val="20"/>
              </w:rPr>
              <w:t xml:space="preserve"> y mapas de miedo</w:t>
            </w:r>
            <w:r w:rsidR="00F70E12">
              <w:rPr>
                <w:rFonts w:eastAsia="Calibri" w:cstheme="minorHAnsi"/>
                <w:iCs/>
                <w:sz w:val="20"/>
                <w:szCs w:val="20"/>
              </w:rPr>
              <w:t>.</w:t>
            </w:r>
            <w:r w:rsidR="00B26DB5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F824CE" w:rsidRDefault="00D9387C" w:rsidP="007C2C72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En </w:t>
            </w:r>
            <w:proofErr w:type="spellStart"/>
            <w:r w:rsidR="007E32A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 w:rsidR="007E32A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3</w:t>
            </w:r>
            <w:r w:rsidR="00F824CE" w:rsidRPr="003470E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)</w:t>
            </w:r>
            <w:r w:rsidR="00F824CE">
              <w:rPr>
                <w:rFonts w:eastAsia="Calibri" w:cstheme="minorHAnsi"/>
                <w:iCs/>
                <w:sz w:val="20"/>
                <w:szCs w:val="20"/>
              </w:rPr>
              <w:t xml:space="preserve"> A lo largo del proceso de gobernanza, cuando se activen los órganos, </w:t>
            </w:r>
            <w:r w:rsidR="00153721">
              <w:rPr>
                <w:rFonts w:eastAsia="Calibri" w:cstheme="minorHAnsi"/>
                <w:iCs/>
                <w:sz w:val="20"/>
                <w:szCs w:val="20"/>
              </w:rPr>
              <w:t>l</w:t>
            </w:r>
            <w:r w:rsidR="00167C59">
              <w:rPr>
                <w:rFonts w:eastAsia="Calibri" w:cstheme="minorHAnsi"/>
                <w:iCs/>
                <w:sz w:val="20"/>
                <w:szCs w:val="20"/>
              </w:rPr>
              <w:t>a</w:t>
            </w:r>
            <w:r w:rsidR="00D64498">
              <w:rPr>
                <w:rFonts w:eastAsia="Calibri" w:cstheme="minorHAnsi"/>
                <w:iCs/>
                <w:sz w:val="20"/>
                <w:szCs w:val="20"/>
              </w:rPr>
              <w:t>s opiniones recogidas</w:t>
            </w:r>
            <w:r w:rsidR="001113AA">
              <w:rPr>
                <w:rFonts w:eastAsia="Calibri" w:cstheme="minorHAnsi"/>
                <w:iCs/>
                <w:sz w:val="20"/>
                <w:szCs w:val="20"/>
              </w:rPr>
              <w:t xml:space="preserve">  y las encuestas</w:t>
            </w:r>
            <w:r w:rsidR="00D64498">
              <w:rPr>
                <w:rFonts w:eastAsia="Calibri" w:cstheme="minorHAnsi"/>
                <w:iCs/>
                <w:sz w:val="20"/>
                <w:szCs w:val="20"/>
              </w:rPr>
              <w:t xml:space="preserve"> en los niveles de gobernanza</w:t>
            </w:r>
            <w:r w:rsidR="00167C59">
              <w:rPr>
                <w:rFonts w:eastAsia="Calibri" w:cstheme="minorHAnsi"/>
                <w:iCs/>
                <w:sz w:val="20"/>
                <w:szCs w:val="20"/>
              </w:rPr>
              <w:t xml:space="preserve"> se desagregarán </w:t>
            </w:r>
            <w:r w:rsidR="003557C5">
              <w:rPr>
                <w:rFonts w:eastAsia="Calibri" w:cstheme="minorHAnsi"/>
                <w:iCs/>
                <w:sz w:val="20"/>
                <w:szCs w:val="20"/>
              </w:rPr>
              <w:t>por sexo</w:t>
            </w:r>
            <w:r w:rsidR="00167C59">
              <w:rPr>
                <w:rFonts w:eastAsia="Calibri" w:cstheme="minorHAnsi"/>
                <w:iCs/>
                <w:sz w:val="20"/>
                <w:szCs w:val="20"/>
              </w:rPr>
              <w:t>, de forma que se pueda</w:t>
            </w:r>
            <w:r w:rsidR="000F1467">
              <w:rPr>
                <w:rFonts w:eastAsia="Calibri" w:cstheme="minorHAnsi"/>
                <w:iCs/>
                <w:sz w:val="20"/>
                <w:szCs w:val="20"/>
              </w:rPr>
              <w:t xml:space="preserve"> analizar potenciales diferencias en cuanto a prioridades, demandas, aspiraciones y visiones e inc</w:t>
            </w:r>
            <w:r w:rsidR="00DB2AA1">
              <w:rPr>
                <w:rFonts w:eastAsia="Calibri" w:cstheme="minorHAnsi"/>
                <w:iCs/>
                <w:sz w:val="20"/>
                <w:szCs w:val="20"/>
              </w:rPr>
              <w:t xml:space="preserve">orporarlas en la implementación: </w:t>
            </w:r>
            <w:r w:rsidR="00DB2AA1" w:rsidRPr="008039D8">
              <w:rPr>
                <w:rFonts w:eastAsia="Calibri" w:cstheme="minorHAnsi"/>
                <w:iCs/>
                <w:sz w:val="20"/>
                <w:szCs w:val="20"/>
                <w:u w:val="single"/>
              </w:rPr>
              <w:t>Diseño Talleres de trabajo en femenino</w:t>
            </w:r>
            <w:r w:rsidR="00DB2AA1">
              <w:rPr>
                <w:rFonts w:eastAsia="Calibri" w:cstheme="minorHAnsi"/>
                <w:iCs/>
                <w:sz w:val="20"/>
                <w:szCs w:val="20"/>
              </w:rPr>
              <w:t>.</w:t>
            </w:r>
            <w:r w:rsidR="000F1467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0F1467" w:rsidRDefault="00D9387C" w:rsidP="00986D04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En </w:t>
            </w:r>
            <w:proofErr w:type="spellStart"/>
            <w:r w:rsidR="007E32A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 w:rsidR="007E32A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4</w:t>
            </w:r>
            <w:r w:rsidR="000F1467" w:rsidRPr="003470E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)</w:t>
            </w:r>
            <w:r w:rsidR="000F1467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676C27">
              <w:rPr>
                <w:rFonts w:eastAsia="Calibri" w:cstheme="minorHAnsi"/>
                <w:iCs/>
                <w:sz w:val="20"/>
                <w:szCs w:val="20"/>
              </w:rPr>
              <w:t xml:space="preserve">La </w:t>
            </w:r>
            <w:r w:rsidR="003557C5">
              <w:rPr>
                <w:rFonts w:eastAsia="Calibri" w:cstheme="minorHAnsi"/>
                <w:iCs/>
                <w:sz w:val="20"/>
                <w:szCs w:val="20"/>
              </w:rPr>
              <w:t>integración</w:t>
            </w:r>
            <w:r w:rsidR="00676C27">
              <w:rPr>
                <w:rFonts w:eastAsia="Calibri" w:cstheme="minorHAnsi"/>
                <w:iCs/>
                <w:sz w:val="20"/>
                <w:szCs w:val="20"/>
              </w:rPr>
              <w:t xml:space="preserve"> efectiva de la perspectiva de género </w:t>
            </w:r>
            <w:r w:rsidR="002150FB">
              <w:rPr>
                <w:rFonts w:eastAsia="Calibri" w:cstheme="minorHAnsi"/>
                <w:iCs/>
                <w:sz w:val="20"/>
                <w:szCs w:val="20"/>
              </w:rPr>
              <w:t xml:space="preserve">a lo largo de la gobernanza </w:t>
            </w:r>
            <w:r w:rsidR="00676C27">
              <w:rPr>
                <w:rFonts w:eastAsia="Calibri" w:cstheme="minorHAnsi"/>
                <w:iCs/>
                <w:sz w:val="20"/>
                <w:szCs w:val="20"/>
              </w:rPr>
              <w:t xml:space="preserve">permitirá que </w:t>
            </w:r>
            <w:r w:rsidR="00676C27" w:rsidRPr="00900F07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la firma del compromiso </w:t>
            </w:r>
            <w:r w:rsidR="00DB2AA1">
              <w:rPr>
                <w:rFonts w:eastAsia="Calibri" w:cstheme="minorHAnsi"/>
                <w:iCs/>
                <w:sz w:val="20"/>
                <w:szCs w:val="20"/>
              </w:rPr>
              <w:t xml:space="preserve"> esté </w:t>
            </w:r>
            <w:r w:rsidR="00B9304C">
              <w:rPr>
                <w:rFonts w:eastAsia="Calibri" w:cstheme="minorHAnsi"/>
                <w:iCs/>
                <w:sz w:val="20"/>
                <w:szCs w:val="20"/>
              </w:rPr>
              <w:t xml:space="preserve">redactado de forma inclusiva y </w:t>
            </w:r>
            <w:r w:rsidR="003470E4">
              <w:rPr>
                <w:rFonts w:eastAsia="Calibri" w:cstheme="minorHAnsi"/>
                <w:iCs/>
                <w:sz w:val="20"/>
                <w:szCs w:val="20"/>
              </w:rPr>
              <w:t>citando expresamente la igualdad de acceso a la infraestructura verde.</w:t>
            </w:r>
          </w:p>
          <w:p w:rsidR="00D750B7" w:rsidRPr="00CE7C5B" w:rsidRDefault="007C2C72" w:rsidP="00433547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 esperados</w:t>
            </w:r>
            <w:r w:rsidR="00B27A0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: </w:t>
            </w:r>
            <w:r w:rsidR="008039D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Paridad,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8039D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1 técnico/a especialista adscrito,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 </w:t>
            </w:r>
            <w:r w:rsidR="00B27A0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1 Análisis</w:t>
            </w:r>
            <w:r w:rsidR="001113A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/Encuesta</w:t>
            </w:r>
            <w:r w:rsidR="00B27A0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del uso segregado por sexos de las zonas verdes más frecuentadas de Andújar</w:t>
            </w:r>
            <w:r w:rsidR="00BC2F4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 hábitos</w:t>
            </w:r>
            <w:r w:rsidR="00EB0EF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diferenciales</w:t>
            </w:r>
            <w:r w:rsidR="00BC2F4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, números visitas, tiempo estancia,</w:t>
            </w:r>
            <w:r w:rsidR="00EB0EF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percepción,…</w:t>
            </w:r>
            <w:r w:rsidR="002B504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; </w:t>
            </w:r>
            <w:r w:rsidR="00497556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2 Talleres  diseño femenino</w:t>
            </w:r>
            <w:r w:rsidR="00D750B7"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: “Nosotras vamos a diseñar una zona verde: </w:t>
            </w:r>
            <w:r w:rsidR="00D750B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¿</w:t>
            </w:r>
            <w:r w:rsidR="00D750B7" w:rsidRPr="00182F98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te animas?” </w:t>
            </w:r>
            <w:r w:rsidR="002B504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; </w:t>
            </w:r>
            <w:r w:rsidR="0043354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986D0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1 Adecuación del Compromiso con los criterios de perspectiva de género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71599" w:rsidRPr="001618E0" w:rsidTr="00590B49">
        <w:trPr>
          <w:trHeight w:val="343"/>
        </w:trPr>
        <w:tc>
          <w:tcPr>
            <w:tcW w:w="4961" w:type="dxa"/>
            <w:gridSpan w:val="2"/>
            <w:shd w:val="clear" w:color="auto" w:fill="215868" w:themeFill="accent5" w:themeFillShade="80"/>
            <w:vAlign w:val="center"/>
          </w:tcPr>
          <w:p w:rsidR="00471599" w:rsidRPr="003D565A" w:rsidRDefault="003A6CA4" w:rsidP="003D565A">
            <w:pPr>
              <w:keepNext/>
              <w:spacing w:after="0" w:line="240" w:lineRule="auto"/>
              <w:ind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5E49F2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lastRenderedPageBreak/>
              <w:t>Presupuesto de la acción (€, con dos decimales)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71599" w:rsidRPr="001618E0" w:rsidRDefault="003A6CA4" w:rsidP="00471599">
            <w:pPr>
              <w:keepNext/>
              <w:spacing w:after="0" w:line="240" w:lineRule="auto"/>
              <w:ind w:right="28"/>
              <w:rPr>
                <w:rFonts w:eastAsia="Calibri" w:cs="Times New Roman"/>
                <w:iCs/>
                <w:sz w:val="20"/>
                <w:szCs w:val="20"/>
              </w:rPr>
            </w:pPr>
            <w:r w:rsidRPr="003A6CA4">
              <w:rPr>
                <w:rFonts w:eastAsia="Calibri" w:cs="Times New Roman"/>
                <w:iCs/>
                <w:sz w:val="20"/>
                <w:szCs w:val="20"/>
              </w:rPr>
              <w:t>78.747,50 €</w:t>
            </w:r>
          </w:p>
        </w:tc>
      </w:tr>
      <w:tr w:rsidR="00471599" w:rsidRPr="001618E0" w:rsidTr="00547ED4">
        <w:trPr>
          <w:trHeight w:val="420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471599" w:rsidRPr="00B61D31" w:rsidRDefault="00B61D31" w:rsidP="00B61D31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Descripción</w:t>
            </w:r>
            <w:r w:rsidR="00471599" w:rsidRPr="001618E0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 del presupuesto </w:t>
            </w:r>
            <w:r w:rsidR="00471599"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No se deberán indicar importes en este apartado. Se deberá i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ndicar </w:t>
            </w:r>
            <w:r w:rsidR="00CE482B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para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cada partida 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la descripción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de los gastos planteados</w:t>
            </w:r>
            <w:r w:rsidR="000A459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que corresponden a los importes reflejados en el Excel de Presupuesto para esta acción. En caso de agrupación</w:t>
            </w:r>
            <w:r w:rsidR="00615EE4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,</w:t>
            </w:r>
            <w:r w:rsidR="000A459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se indicará </w:t>
            </w:r>
            <w:r w:rsidR="00615EE4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el detalle </w:t>
            </w:r>
            <w:r w:rsidR="000A459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para cada</w:t>
            </w:r>
            <w:r w:rsidR="00615EE4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una de las</w:t>
            </w:r>
            <w:r w:rsidR="000A459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entidad</w:t>
            </w:r>
            <w:r w:rsidR="00615EE4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es que la conforman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. Mayor detalle (documentos completos) puede ser anexado como “</w:t>
            </w:r>
            <w:r w:rsidR="006E42B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Documentación Adicional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” en el correspondiente campo de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la herramienta 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habilitad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a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para la presentación de 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solicitudes</w:t>
            </w:r>
            <w:r w:rsidR="0047159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)</w:t>
            </w:r>
            <w:r w:rsidR="00F5311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CE482B" w:rsidRPr="00DB7D0E" w:rsidTr="009632D5">
        <w:trPr>
          <w:trHeight w:val="63"/>
        </w:trPr>
        <w:tc>
          <w:tcPr>
            <w:tcW w:w="2977" w:type="dxa"/>
            <w:shd w:val="clear" w:color="auto" w:fill="215868" w:themeFill="accent5" w:themeFillShade="80"/>
            <w:vAlign w:val="center"/>
          </w:tcPr>
          <w:p w:rsidR="00CE482B" w:rsidRPr="00DB7D0E" w:rsidRDefault="00CE482B" w:rsidP="00471599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DB7D0E"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Partida presupuestaria</w:t>
            </w:r>
          </w:p>
        </w:tc>
        <w:tc>
          <w:tcPr>
            <w:tcW w:w="7796" w:type="dxa"/>
            <w:gridSpan w:val="2"/>
            <w:shd w:val="clear" w:color="auto" w:fill="215868" w:themeFill="accent5" w:themeFillShade="80"/>
            <w:vAlign w:val="center"/>
          </w:tcPr>
          <w:p w:rsidR="00CE482B" w:rsidRPr="00DB7D0E" w:rsidRDefault="00CE482B" w:rsidP="00471599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D</w:t>
            </w:r>
            <w:r w:rsidR="00B61D31"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escripción</w:t>
            </w:r>
            <w:r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de los gastos contemplados </w:t>
            </w:r>
            <w:r w:rsidR="007D570D" w:rsidRPr="00615EE4">
              <w:rPr>
                <w:rFonts w:eastAsia="Calibri" w:cs="Times New Roman"/>
                <w:i/>
                <w:color w:val="FFFFFF" w:themeColor="background1"/>
                <w:sz w:val="18"/>
                <w:szCs w:val="18"/>
              </w:rPr>
              <w:t>(por ejemplo, perfil del personal y tareas que desempeña, tipología de viajes y desplazamientos previstos, etc.)</w:t>
            </w:r>
          </w:p>
        </w:tc>
      </w:tr>
      <w:tr w:rsidR="00CE482B" w:rsidRPr="001618E0" w:rsidTr="009632D5">
        <w:trPr>
          <w:trHeight w:val="63"/>
        </w:trPr>
        <w:tc>
          <w:tcPr>
            <w:tcW w:w="2977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CE482B" w:rsidRPr="00A41343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Personal</w:t>
            </w:r>
            <w:r w:rsidRPr="00A4134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  <w:vAlign w:val="center"/>
          </w:tcPr>
          <w:p w:rsidR="00CE482B" w:rsidRPr="001618E0" w:rsidRDefault="0088554B" w:rsidP="007F2A4C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Personal de la OTM dedicado </w:t>
            </w:r>
            <w:r w:rsidR="00A545A6">
              <w:rPr>
                <w:rFonts w:eastAsia="Calibri" w:cs="Times New Roman"/>
                <w:iCs/>
                <w:sz w:val="20"/>
                <w:szCs w:val="20"/>
              </w:rPr>
              <w:t xml:space="preserve">a la </w:t>
            </w:r>
            <w:r w:rsidR="004C6BB6">
              <w:rPr>
                <w:rFonts w:eastAsia="Calibri" w:cs="Times New Roman"/>
                <w:iCs/>
                <w:sz w:val="20"/>
                <w:szCs w:val="20"/>
              </w:rPr>
              <w:t xml:space="preserve">coordinación y </w:t>
            </w:r>
            <w:r w:rsidR="00A545A6">
              <w:rPr>
                <w:rFonts w:eastAsia="Calibri" w:cs="Times New Roman"/>
                <w:iCs/>
                <w:sz w:val="20"/>
                <w:szCs w:val="20"/>
              </w:rPr>
              <w:t>dinamización</w:t>
            </w:r>
            <w:r w:rsidR="00111E03">
              <w:rPr>
                <w:rFonts w:eastAsia="Calibri" w:cs="Times New Roman"/>
                <w:iCs/>
                <w:sz w:val="20"/>
                <w:szCs w:val="20"/>
              </w:rPr>
              <w:t xml:space="preserve"> de los órganos</w:t>
            </w:r>
            <w:r w:rsidR="004C6BB6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111E03">
              <w:rPr>
                <w:rFonts w:eastAsia="Calibri" w:cs="Times New Roman"/>
                <w:iCs/>
                <w:sz w:val="20"/>
                <w:szCs w:val="20"/>
              </w:rPr>
              <w:t>activando e impulsando la</w:t>
            </w:r>
            <w:r w:rsidR="00EC7E5C">
              <w:rPr>
                <w:rFonts w:eastAsia="Calibri" w:cs="Times New Roman"/>
                <w:iCs/>
                <w:sz w:val="20"/>
                <w:szCs w:val="20"/>
              </w:rPr>
              <w:t xml:space="preserve"> Comisión, Mesa</w:t>
            </w:r>
            <w:r w:rsidR="00FA4E06">
              <w:rPr>
                <w:rFonts w:eastAsia="Calibri" w:cs="Times New Roman"/>
                <w:iCs/>
                <w:sz w:val="20"/>
                <w:szCs w:val="20"/>
              </w:rPr>
              <w:t xml:space="preserve"> y </w:t>
            </w:r>
            <w:r w:rsidR="00EC7E5C">
              <w:rPr>
                <w:rFonts w:eastAsia="Calibri" w:cs="Times New Roman"/>
                <w:iCs/>
                <w:sz w:val="20"/>
                <w:szCs w:val="20"/>
              </w:rPr>
              <w:t>Grupo interinstitucional</w:t>
            </w:r>
            <w:r w:rsidR="00FA4E06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EC7E5C">
              <w:rPr>
                <w:rFonts w:eastAsia="Calibri" w:cs="Times New Roman"/>
                <w:iCs/>
                <w:sz w:val="20"/>
                <w:szCs w:val="20"/>
              </w:rPr>
              <w:t>según necesidades</w:t>
            </w:r>
            <w:r w:rsidR="00FA4E06">
              <w:rPr>
                <w:rFonts w:eastAsia="Calibri" w:cs="Times New Roman"/>
                <w:iCs/>
                <w:sz w:val="20"/>
                <w:szCs w:val="20"/>
              </w:rPr>
              <w:t xml:space="preserve">. La OTM </w:t>
            </w:r>
            <w:r w:rsidR="000A6278">
              <w:rPr>
                <w:rFonts w:eastAsia="Calibri" w:cs="Times New Roman"/>
                <w:iCs/>
                <w:sz w:val="20"/>
                <w:szCs w:val="20"/>
              </w:rPr>
              <w:t xml:space="preserve">participará </w:t>
            </w:r>
            <w:r w:rsidR="009D4BDE">
              <w:rPr>
                <w:rFonts w:eastAsia="Calibri" w:cs="Times New Roman"/>
                <w:iCs/>
                <w:sz w:val="20"/>
                <w:szCs w:val="20"/>
              </w:rPr>
              <w:t xml:space="preserve">en todas la acciones, </w:t>
            </w:r>
            <w:r w:rsidR="00CC2875">
              <w:rPr>
                <w:rFonts w:eastAsia="Calibri" w:cs="Times New Roman"/>
                <w:iCs/>
                <w:sz w:val="20"/>
                <w:szCs w:val="20"/>
              </w:rPr>
              <w:t>dirigida a la coordinación y puesta en común con agentes</w:t>
            </w:r>
            <w:r w:rsidR="00FD11BC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F6186C">
              <w:rPr>
                <w:rFonts w:eastAsia="Calibri" w:cs="Times New Roman"/>
                <w:iCs/>
                <w:sz w:val="20"/>
                <w:szCs w:val="20"/>
              </w:rPr>
              <w:t>entre áreas municipales</w:t>
            </w:r>
            <w:r w:rsidR="00FD11BC">
              <w:rPr>
                <w:rFonts w:eastAsia="Calibri" w:cs="Times New Roman"/>
                <w:iCs/>
                <w:sz w:val="20"/>
                <w:szCs w:val="20"/>
              </w:rPr>
              <w:t xml:space="preserve"> y con consultora de apoyo.</w:t>
            </w:r>
          </w:p>
        </w:tc>
      </w:tr>
      <w:tr w:rsidR="00CE482B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CE482B" w:rsidRPr="00A41343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Viajes y manutención </w:t>
            </w:r>
          </w:p>
        </w:tc>
        <w:tc>
          <w:tcPr>
            <w:tcW w:w="7796" w:type="dxa"/>
            <w:gridSpan w:val="2"/>
            <w:vAlign w:val="center"/>
          </w:tcPr>
          <w:p w:rsidR="00CE482B" w:rsidRPr="001618E0" w:rsidRDefault="00A71FC2" w:rsidP="004B3E94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Viajes para el personal técnico del Ayuntamiento </w:t>
            </w:r>
            <w:r w:rsidR="00B957B6">
              <w:rPr>
                <w:rFonts w:eastAsia="Calibri" w:cs="Times New Roman"/>
                <w:iCs/>
                <w:sz w:val="20"/>
                <w:szCs w:val="20"/>
              </w:rPr>
              <w:t xml:space="preserve">a reuniones y procesos de gobernanza </w:t>
            </w:r>
            <w:r>
              <w:rPr>
                <w:rFonts w:eastAsia="Calibri" w:cs="Times New Roman"/>
                <w:iCs/>
                <w:sz w:val="20"/>
                <w:szCs w:val="20"/>
              </w:rPr>
              <w:t>y para</w:t>
            </w:r>
            <w:r w:rsidR="00EA7157">
              <w:rPr>
                <w:rFonts w:eastAsia="Calibri" w:cs="Times New Roman"/>
                <w:iCs/>
                <w:sz w:val="20"/>
                <w:szCs w:val="20"/>
              </w:rPr>
              <w:t xml:space="preserve"> asistencia </w:t>
            </w:r>
            <w:r w:rsidR="00B957B6">
              <w:rPr>
                <w:rFonts w:eastAsia="Calibri" w:cs="Times New Roman"/>
                <w:iCs/>
                <w:sz w:val="20"/>
                <w:szCs w:val="20"/>
              </w:rPr>
              <w:t xml:space="preserve">a reuniones con </w:t>
            </w:r>
            <w:r w:rsidR="00EA7157">
              <w:rPr>
                <w:rFonts w:eastAsia="Calibri" w:cs="Times New Roman"/>
                <w:iCs/>
                <w:sz w:val="20"/>
                <w:szCs w:val="20"/>
              </w:rPr>
              <w:t>stakeholders y agentes</w:t>
            </w:r>
          </w:p>
        </w:tc>
      </w:tr>
      <w:tr w:rsidR="00CE482B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CE482B" w:rsidRPr="00A41343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Contratación </w:t>
            </w:r>
          </w:p>
        </w:tc>
        <w:tc>
          <w:tcPr>
            <w:tcW w:w="7796" w:type="dxa"/>
            <w:gridSpan w:val="2"/>
            <w:vAlign w:val="center"/>
          </w:tcPr>
          <w:p w:rsidR="00CE482B" w:rsidRPr="001618E0" w:rsidRDefault="000A3670" w:rsidP="00FD11BC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0A3670">
              <w:rPr>
                <w:rFonts w:eastAsia="Calibri" w:cs="Times New Roman"/>
                <w:iCs/>
                <w:sz w:val="20"/>
                <w:szCs w:val="20"/>
              </w:rPr>
              <w:t xml:space="preserve">Para las </w:t>
            </w:r>
            <w:r w:rsidR="00A95D90">
              <w:rPr>
                <w:rFonts w:eastAsia="Calibri" w:cs="Times New Roman"/>
                <w:iCs/>
                <w:sz w:val="20"/>
                <w:szCs w:val="20"/>
              </w:rPr>
              <w:t>Act. 2-Act. 4</w:t>
            </w:r>
            <w:r w:rsidR="00320B9B" w:rsidRPr="00320B9B">
              <w:rPr>
                <w:rFonts w:eastAsia="Calibri" w:cs="Times New Roman"/>
                <w:iCs/>
                <w:sz w:val="20"/>
                <w:szCs w:val="20"/>
              </w:rPr>
              <w:t xml:space="preserve">) </w:t>
            </w:r>
            <w:r>
              <w:rPr>
                <w:rFonts w:eastAsia="Calibri" w:cs="Times New Roman"/>
                <w:iCs/>
                <w:sz w:val="20"/>
                <w:szCs w:val="20"/>
              </w:rPr>
              <w:t>se</w:t>
            </w:r>
            <w:r w:rsidR="00320B9B" w:rsidRPr="00320B9B">
              <w:rPr>
                <w:rFonts w:eastAsia="Calibri" w:cs="Times New Roman"/>
                <w:iCs/>
                <w:sz w:val="20"/>
                <w:szCs w:val="20"/>
              </w:rPr>
              <w:t xml:space="preserve"> llevará a cabo la contratación de un servicio de apoyo</w:t>
            </w:r>
            <w:r w:rsidR="00FD11BC">
              <w:rPr>
                <w:rFonts w:eastAsia="Calibri" w:cs="Times New Roman"/>
                <w:iCs/>
                <w:sz w:val="20"/>
                <w:szCs w:val="20"/>
              </w:rPr>
              <w:t xml:space="preserve"> (Consultora) </w:t>
            </w:r>
            <w:r w:rsidR="00320B9B" w:rsidRPr="00320B9B">
              <w:rPr>
                <w:rFonts w:eastAsia="Calibri" w:cs="Times New Roman"/>
                <w:iCs/>
                <w:sz w:val="20"/>
                <w:szCs w:val="20"/>
              </w:rPr>
              <w:t xml:space="preserve"> a la</w:t>
            </w:r>
            <w:r w:rsidR="00EA7157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EA7157">
              <w:rPr>
                <w:rFonts w:eastAsia="Calibri" w:cs="Times New Roman"/>
                <w:iCs/>
                <w:sz w:val="20"/>
                <w:szCs w:val="20"/>
              </w:rPr>
              <w:t>g</w:t>
            </w:r>
            <w:r w:rsidR="00320B9B" w:rsidRPr="00320B9B">
              <w:rPr>
                <w:rFonts w:eastAsia="Calibri" w:cs="Times New Roman"/>
                <w:iCs/>
                <w:sz w:val="20"/>
                <w:szCs w:val="20"/>
              </w:rPr>
              <w:t>obernanz</w:t>
            </w:r>
            <w:r>
              <w:rPr>
                <w:rFonts w:eastAsia="Calibri" w:cs="Times New Roman"/>
                <w:iCs/>
                <w:sz w:val="20"/>
                <w:szCs w:val="20"/>
              </w:rPr>
              <w:t>a</w:t>
            </w:r>
            <w:r w:rsidR="00A95D90">
              <w:rPr>
                <w:rFonts w:eastAsia="Calibri" w:cs="Times New Roman"/>
                <w:iCs/>
                <w:sz w:val="20"/>
                <w:szCs w:val="20"/>
              </w:rPr>
              <w:t>+participación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</w:rPr>
              <w:t>, centra</w:t>
            </w:r>
            <w:r w:rsidR="00EA7157">
              <w:rPr>
                <w:rFonts w:eastAsia="Calibri" w:cs="Times New Roman"/>
                <w:iCs/>
                <w:sz w:val="20"/>
                <w:szCs w:val="20"/>
              </w:rPr>
              <w:t xml:space="preserve">do </w:t>
            </w:r>
            <w:r>
              <w:rPr>
                <w:rFonts w:eastAsia="Calibri" w:cs="Times New Roman"/>
                <w:iCs/>
                <w:sz w:val="20"/>
                <w:szCs w:val="20"/>
              </w:rPr>
              <w:t>en el apoyo y dinamización de</w:t>
            </w:r>
            <w:r w:rsidR="00320B9B" w:rsidRPr="00320B9B">
              <w:rPr>
                <w:rFonts w:eastAsia="Calibri" w:cs="Times New Roman"/>
                <w:iCs/>
                <w:sz w:val="20"/>
                <w:szCs w:val="20"/>
              </w:rPr>
              <w:t xml:space="preserve"> talleres</w:t>
            </w:r>
            <w:r>
              <w:rPr>
                <w:rFonts w:eastAsia="Calibri" w:cs="Times New Roman"/>
                <w:iCs/>
                <w:sz w:val="20"/>
                <w:szCs w:val="20"/>
              </w:rPr>
              <w:t>,</w:t>
            </w:r>
            <w:r w:rsidR="00320B9B" w:rsidRPr="00320B9B">
              <w:rPr>
                <w:rFonts w:eastAsia="Calibri" w:cs="Times New Roman"/>
                <w:iCs/>
                <w:sz w:val="20"/>
                <w:szCs w:val="20"/>
              </w:rPr>
              <w:t xml:space="preserve"> reuniones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 y procesos de </w:t>
            </w:r>
            <w:r w:rsidR="00077960">
              <w:rPr>
                <w:rFonts w:eastAsia="Calibri" w:cs="Times New Roman"/>
                <w:iCs/>
                <w:sz w:val="20"/>
                <w:szCs w:val="20"/>
              </w:rPr>
              <w:t xml:space="preserve">participación e </w:t>
            </w:r>
            <w:r>
              <w:rPr>
                <w:rFonts w:eastAsia="Calibri" w:cs="Times New Roman"/>
                <w:iCs/>
                <w:sz w:val="20"/>
                <w:szCs w:val="20"/>
              </w:rPr>
              <w:t>ideación</w:t>
            </w:r>
            <w:r w:rsidR="00AF277A">
              <w:rPr>
                <w:rFonts w:eastAsia="Calibri" w:cs="Times New Roman"/>
                <w:iCs/>
                <w:sz w:val="20"/>
                <w:szCs w:val="20"/>
              </w:rPr>
              <w:t xml:space="preserve">. Además, se encargará de profundizar en torno al diseño del </w:t>
            </w:r>
            <w:r w:rsidR="00320B9B" w:rsidRPr="00320B9B">
              <w:rPr>
                <w:rFonts w:eastAsia="Calibri" w:cs="Times New Roman"/>
                <w:iCs/>
                <w:sz w:val="20"/>
                <w:szCs w:val="20"/>
              </w:rPr>
              <w:t>proceso de participación pública</w:t>
            </w:r>
            <w:r w:rsidR="00A95D90">
              <w:rPr>
                <w:rFonts w:eastAsia="Calibri" w:cs="Times New Roman"/>
                <w:iCs/>
                <w:sz w:val="20"/>
                <w:szCs w:val="20"/>
              </w:rPr>
              <w:t xml:space="preserve"> del Plan Estratégico Infraestructura Verde Local Andújar A1.</w:t>
            </w:r>
            <w:r w:rsidR="00FD11BC">
              <w:rPr>
                <w:rFonts w:eastAsia="Calibri" w:cs="Times New Roman"/>
                <w:iCs/>
                <w:sz w:val="20"/>
                <w:szCs w:val="20"/>
              </w:rPr>
              <w:t xml:space="preserve"> Especial atención a la traslación de la transversalidad de género.</w:t>
            </w:r>
            <w:r w:rsidR="00DD2E5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CE482B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CE482B" w:rsidRPr="00A41343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Subcontratación</w:t>
            </w:r>
          </w:p>
        </w:tc>
        <w:tc>
          <w:tcPr>
            <w:tcW w:w="7796" w:type="dxa"/>
            <w:gridSpan w:val="2"/>
            <w:vAlign w:val="center"/>
          </w:tcPr>
          <w:p w:rsidR="00CE482B" w:rsidRPr="001618E0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CE482B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CE482B" w:rsidRPr="00A41343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Material inventariable</w:t>
            </w:r>
          </w:p>
        </w:tc>
        <w:tc>
          <w:tcPr>
            <w:tcW w:w="7796" w:type="dxa"/>
            <w:gridSpan w:val="2"/>
            <w:vAlign w:val="center"/>
          </w:tcPr>
          <w:p w:rsidR="00CE482B" w:rsidRPr="001618E0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CE482B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CE482B" w:rsidRPr="00A41343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Material fungible</w:t>
            </w:r>
          </w:p>
        </w:tc>
        <w:tc>
          <w:tcPr>
            <w:tcW w:w="7796" w:type="dxa"/>
            <w:gridSpan w:val="2"/>
            <w:vAlign w:val="center"/>
          </w:tcPr>
          <w:p w:rsidR="00CE482B" w:rsidRPr="001618E0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CE482B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CE482B" w:rsidRPr="00A41343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sz w:val="20"/>
                <w:szCs w:val="20"/>
              </w:rPr>
              <w:t xml:space="preserve">Otros </w:t>
            </w:r>
            <w:r w:rsidR="007D570D" w:rsidRPr="00A41343">
              <w:rPr>
                <w:rFonts w:ascii="Calibri" w:hAnsi="Calibri" w:cs="Calibri"/>
                <w:sz w:val="20"/>
                <w:szCs w:val="20"/>
              </w:rPr>
              <w:t>(gastos de expropiación e intereses de la garantía bancaria)</w:t>
            </w:r>
          </w:p>
        </w:tc>
        <w:tc>
          <w:tcPr>
            <w:tcW w:w="7796" w:type="dxa"/>
            <w:gridSpan w:val="2"/>
            <w:vAlign w:val="center"/>
          </w:tcPr>
          <w:p w:rsidR="00CE482B" w:rsidRPr="001618E0" w:rsidRDefault="00CE482B" w:rsidP="0047159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471599" w:rsidRPr="001618E0" w:rsidTr="00590B49">
        <w:trPr>
          <w:trHeight w:val="343"/>
        </w:trPr>
        <w:tc>
          <w:tcPr>
            <w:tcW w:w="10773" w:type="dxa"/>
            <w:gridSpan w:val="3"/>
            <w:shd w:val="clear" w:color="auto" w:fill="31849B" w:themeFill="accent5" w:themeFillShade="BF"/>
          </w:tcPr>
          <w:p w:rsidR="00471599" w:rsidRPr="001618E0" w:rsidRDefault="00471599" w:rsidP="00471599">
            <w:pPr>
              <w:keepNext/>
              <w:spacing w:after="0" w:line="240" w:lineRule="auto"/>
              <w:rPr>
                <w:color w:val="FFFFFF" w:themeColor="background1"/>
                <w:sz w:val="20"/>
                <w:szCs w:val="20"/>
              </w:rPr>
            </w:pPr>
            <w:r w:rsidRPr="00487424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Obstáculos previstos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(Indicar aquellas circunstancias que puedan, previsiblemente, dificultar la consecución de los resultados esperados y sintetizar las medidas de actuación que se plantean para solventarlas)</w:t>
            </w:r>
            <w:r w:rsidR="00A520E6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71599" w:rsidRPr="001618E0" w:rsidTr="00A520E6">
        <w:trPr>
          <w:trHeight w:val="404"/>
        </w:trPr>
        <w:tc>
          <w:tcPr>
            <w:tcW w:w="10773" w:type="dxa"/>
            <w:gridSpan w:val="3"/>
            <w:vAlign w:val="center"/>
          </w:tcPr>
          <w:p w:rsidR="00560DC8" w:rsidRDefault="00560DC8" w:rsidP="00373DF8">
            <w:pPr>
              <w:numPr>
                <w:ilvl w:val="0"/>
                <w:numId w:val="2"/>
              </w:numPr>
              <w:spacing w:after="0" w:line="240" w:lineRule="auto"/>
              <w:ind w:left="464"/>
              <w:rPr>
                <w:rFonts w:eastAsia="Calibri" w:cs="Times New Roman"/>
                <w:iCs/>
                <w:sz w:val="20"/>
                <w:szCs w:val="20"/>
              </w:rPr>
            </w:pPr>
            <w:r w:rsidRPr="00560DC8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Escasa cultura en la participación y codiseño de soluciones entre la </w:t>
            </w:r>
            <w:r w:rsidR="006E1F30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agentes y la </w:t>
            </w:r>
            <w:r w:rsidRPr="00560DC8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ciudadanía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>. Para abordar</w:t>
            </w:r>
            <w:r w:rsidR="00A868A4">
              <w:rPr>
                <w:rFonts w:eastAsia="Calibri" w:cs="Times New Roman"/>
                <w:iCs/>
                <w:sz w:val="20"/>
                <w:szCs w:val="20"/>
              </w:rPr>
              <w:t>lo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>, se explicarán de manera clara y pormenorizada los objetivos</w:t>
            </w:r>
            <w:r w:rsidR="008C3BE9">
              <w:rPr>
                <w:rFonts w:eastAsia="Calibri" w:cs="Times New Roman"/>
                <w:iCs/>
                <w:sz w:val="20"/>
                <w:szCs w:val="20"/>
              </w:rPr>
              <w:t xml:space="preserve"> y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 xml:space="preserve"> alcance </w:t>
            </w:r>
            <w:r w:rsidR="008C3BE9">
              <w:rPr>
                <w:rFonts w:eastAsia="Calibri" w:cs="Times New Roman"/>
                <w:iCs/>
                <w:sz w:val="20"/>
                <w:szCs w:val="20"/>
              </w:rPr>
              <w:t xml:space="preserve">del proyecto y se delimitarán </w:t>
            </w:r>
            <w:r w:rsidR="00EA7B24">
              <w:rPr>
                <w:rFonts w:eastAsia="Calibri" w:cs="Times New Roman"/>
                <w:iCs/>
                <w:sz w:val="20"/>
                <w:szCs w:val="20"/>
              </w:rPr>
              <w:t>claramente</w:t>
            </w:r>
            <w:r w:rsidR="008C3BE9">
              <w:rPr>
                <w:rFonts w:eastAsia="Calibri" w:cs="Times New Roman"/>
                <w:iCs/>
                <w:sz w:val="20"/>
                <w:szCs w:val="20"/>
              </w:rPr>
              <w:t xml:space="preserve"> los roles 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>y atribuciones</w:t>
            </w:r>
            <w:r w:rsidR="00A868A4">
              <w:rPr>
                <w:rFonts w:eastAsia="Calibri" w:cs="Times New Roman"/>
                <w:iCs/>
                <w:sz w:val="20"/>
                <w:szCs w:val="20"/>
              </w:rPr>
              <w:t xml:space="preserve">. </w:t>
            </w:r>
          </w:p>
          <w:p w:rsidR="00471599" w:rsidRPr="001618E0" w:rsidRDefault="00560DC8" w:rsidP="00373DF8">
            <w:pPr>
              <w:numPr>
                <w:ilvl w:val="0"/>
                <w:numId w:val="2"/>
              </w:numPr>
              <w:spacing w:after="0" w:line="240" w:lineRule="auto"/>
              <w:ind w:left="464"/>
              <w:rPr>
                <w:rFonts w:eastAsia="Calibri" w:cs="Times New Roman"/>
                <w:iCs/>
                <w:sz w:val="20"/>
                <w:szCs w:val="20"/>
              </w:rPr>
            </w:pPr>
            <w:r w:rsidRPr="00560DC8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Desafección durante el proceso participativo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 xml:space="preserve">. Se diseñarán y dinamizarán los talleres con un lenguaje </w:t>
            </w:r>
            <w:r w:rsidR="002A0EA8">
              <w:rPr>
                <w:rFonts w:eastAsia="Calibri" w:cs="Times New Roman"/>
                <w:iCs/>
                <w:sz w:val="20"/>
                <w:szCs w:val="20"/>
              </w:rPr>
              <w:t xml:space="preserve">adaptado y se emplearán 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 xml:space="preserve">técnicas de </w:t>
            </w:r>
            <w:r w:rsidRPr="002A0EA8">
              <w:rPr>
                <w:rFonts w:eastAsia="Calibri" w:cs="Times New Roman"/>
                <w:i/>
                <w:sz w:val="20"/>
                <w:szCs w:val="20"/>
              </w:rPr>
              <w:t>design thinking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>, convirt</w:t>
            </w:r>
            <w:r w:rsidR="00BE4AD0">
              <w:rPr>
                <w:rFonts w:eastAsia="Calibri" w:cs="Times New Roman"/>
                <w:iCs/>
                <w:sz w:val="20"/>
                <w:szCs w:val="20"/>
              </w:rPr>
              <w:t xml:space="preserve">iendo </w:t>
            </w:r>
            <w:r w:rsidRPr="00560DC8">
              <w:rPr>
                <w:rFonts w:eastAsia="Calibri" w:cs="Times New Roman"/>
                <w:iCs/>
                <w:sz w:val="20"/>
                <w:szCs w:val="20"/>
              </w:rPr>
              <w:t>la participación en un proceso interactivo y bidireccional.</w:t>
            </w:r>
          </w:p>
        </w:tc>
      </w:tr>
      <w:bookmarkEnd w:id="0"/>
    </w:tbl>
    <w:p w:rsidR="004D1755" w:rsidRDefault="004D1755" w:rsidP="00A41343">
      <w:pPr>
        <w:sectPr w:rsidR="004D1755" w:rsidSect="00CC54BA">
          <w:headerReference w:type="default" r:id="rId11"/>
          <w:footerReference w:type="default" r:id="rId12"/>
          <w:pgSz w:w="11906" w:h="16838"/>
          <w:pgMar w:top="1417" w:right="566" w:bottom="1135" w:left="567" w:header="708" w:footer="280" w:gutter="0"/>
          <w:cols w:space="708"/>
          <w:docGrid w:linePitch="360"/>
        </w:sectPr>
      </w:pPr>
    </w:p>
    <w:tbl>
      <w:tblPr>
        <w:tblW w:w="10773" w:type="dxa"/>
        <w:tblInd w:w="250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/>
      </w:tblPr>
      <w:tblGrid>
        <w:gridCol w:w="3119"/>
        <w:gridCol w:w="1842"/>
        <w:gridCol w:w="5812"/>
      </w:tblGrid>
      <w:tr w:rsidR="00547ED4" w:rsidRPr="00266FF7" w:rsidTr="005A78F8">
        <w:trPr>
          <w:trHeight w:val="410"/>
        </w:trPr>
        <w:tc>
          <w:tcPr>
            <w:tcW w:w="10773" w:type="dxa"/>
            <w:gridSpan w:val="3"/>
            <w:shd w:val="clear" w:color="auto" w:fill="215868" w:themeFill="accent5" w:themeFillShade="80"/>
            <w:vAlign w:val="center"/>
          </w:tcPr>
          <w:p w:rsidR="00547ED4" w:rsidRPr="00266FF7" w:rsidRDefault="00547ED4" w:rsidP="00D829E8">
            <w:pPr>
              <w:spacing w:after="0"/>
              <w:jc w:val="center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bookmarkStart w:id="2" w:name="_Hlk176163806"/>
            <w:r w:rsidRPr="00A41343">
              <w:rPr>
                <w:rFonts w:eastAsia="Calibri" w:cstheme="minorHAnsi"/>
                <w:b/>
                <w:iCs/>
                <w:color w:val="FFFFFF" w:themeColor="background1"/>
              </w:rPr>
              <w:lastRenderedPageBreak/>
              <w:t>Plan de comunicación y sensibilización (C2)</w:t>
            </w:r>
          </w:p>
        </w:tc>
      </w:tr>
      <w:tr w:rsidR="00D829E8" w:rsidRPr="00266FF7" w:rsidTr="00D829E8">
        <w:trPr>
          <w:trHeight w:val="132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D829E8" w:rsidRPr="00D829E8" w:rsidRDefault="00D829E8" w:rsidP="00590B49">
            <w:pPr>
              <w:spacing w:after="0"/>
              <w:rPr>
                <w:rFonts w:eastAsia="Calibri" w:cstheme="minorHAnsi"/>
                <w:b/>
                <w:iCs/>
                <w:color w:val="FFFFFF" w:themeColor="background1"/>
                <w:sz w:val="10"/>
                <w:szCs w:val="10"/>
              </w:rPr>
            </w:pPr>
          </w:p>
        </w:tc>
      </w:tr>
      <w:tr w:rsidR="00547ED4" w:rsidRPr="00266FF7" w:rsidTr="00590B49">
        <w:trPr>
          <w:trHeight w:val="268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547ED4" w:rsidRPr="00266FF7" w:rsidRDefault="00547ED4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266FF7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Entidad coordinadora de la acción</w:t>
            </w:r>
            <w:r w:rsidR="005A78F8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47ED4" w:rsidRPr="00266FF7" w:rsidTr="005A78F8">
        <w:trPr>
          <w:trHeight w:val="406"/>
        </w:trPr>
        <w:tc>
          <w:tcPr>
            <w:tcW w:w="10773" w:type="dxa"/>
            <w:gridSpan w:val="3"/>
            <w:shd w:val="clear" w:color="auto" w:fill="auto"/>
          </w:tcPr>
          <w:p w:rsidR="00547ED4" w:rsidRPr="00266FF7" w:rsidRDefault="002B33BF" w:rsidP="00590B49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Ayuntamiento de Andújar</w:t>
            </w:r>
          </w:p>
        </w:tc>
      </w:tr>
      <w:tr w:rsidR="00547ED4" w:rsidRPr="00266FF7" w:rsidTr="009632D5">
        <w:trPr>
          <w:trHeight w:val="334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547ED4" w:rsidRPr="00266FF7" w:rsidRDefault="00547ED4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60779D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Entidades participantes en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(solo para agrupaciones)</w:t>
            </w:r>
            <w:r w:rsidR="005A78F8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47ED4" w:rsidRPr="00266FF7" w:rsidTr="005A78F8">
        <w:trPr>
          <w:trHeight w:val="360"/>
        </w:trPr>
        <w:tc>
          <w:tcPr>
            <w:tcW w:w="10773" w:type="dxa"/>
            <w:gridSpan w:val="3"/>
            <w:shd w:val="clear" w:color="auto" w:fill="auto"/>
          </w:tcPr>
          <w:p w:rsidR="00547ED4" w:rsidRPr="00266FF7" w:rsidRDefault="00547ED4" w:rsidP="00590B49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</w:p>
        </w:tc>
      </w:tr>
      <w:tr w:rsidR="00547ED4" w:rsidRPr="00266FF7" w:rsidTr="00590B49">
        <w:trPr>
          <w:trHeight w:val="336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547ED4" w:rsidRPr="00266FF7" w:rsidRDefault="00547ED4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A67584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Objetivo</w:t>
            </w:r>
            <w:r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/s</w:t>
            </w:r>
            <w:r w:rsidRPr="00A67584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 xml:space="preserve"> de la acción</w:t>
            </w:r>
            <w:r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 xml:space="preserve"> y síntesis del contexto en el que se desarrollará</w:t>
            </w:r>
            <w:r w:rsidR="005A78F8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47ED4" w:rsidRPr="00266FF7" w:rsidTr="005A78F8">
        <w:trPr>
          <w:trHeight w:val="355"/>
        </w:trPr>
        <w:tc>
          <w:tcPr>
            <w:tcW w:w="10773" w:type="dxa"/>
            <w:gridSpan w:val="3"/>
            <w:shd w:val="clear" w:color="auto" w:fill="auto"/>
          </w:tcPr>
          <w:p w:rsidR="00BC2F42" w:rsidRDefault="008461EB" w:rsidP="00DA109D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8461EB">
              <w:rPr>
                <w:rFonts w:eastAsia="Calibri" w:cstheme="minorHAnsi"/>
                <w:iCs/>
                <w:sz w:val="20"/>
                <w:szCs w:val="20"/>
              </w:rPr>
              <w:t xml:space="preserve">Esta acción compartirá con los ciudadanos el compromiso que asume el Ayuntamiento de </w:t>
            </w:r>
            <w:r w:rsidR="003470E4">
              <w:rPr>
                <w:rFonts w:eastAsia="Calibri" w:cstheme="minorHAnsi"/>
                <w:iCs/>
                <w:sz w:val="20"/>
                <w:szCs w:val="20"/>
              </w:rPr>
              <w:t>Andújar</w:t>
            </w:r>
            <w:r w:rsidRPr="008461EB">
              <w:rPr>
                <w:rFonts w:eastAsia="Calibri" w:cstheme="minorHAnsi"/>
                <w:iCs/>
                <w:sz w:val="20"/>
                <w:szCs w:val="20"/>
              </w:rPr>
              <w:t xml:space="preserve"> con el proyecto </w:t>
            </w:r>
            <w:r w:rsidR="00F600EE" w:rsidRPr="00495962">
              <w:rPr>
                <w:rFonts w:eastAsia="Calibri" w:cstheme="minorHAnsi"/>
                <w:iCs/>
                <w:sz w:val="20"/>
                <w:szCs w:val="20"/>
              </w:rPr>
              <w:t>IVLA - Infraestructura Verde Local de Andújar</w:t>
            </w:r>
            <w:r w:rsidR="00F600EE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BC2F42">
              <w:rPr>
                <w:rFonts w:eastAsia="Calibri" w:cstheme="minorHAnsi"/>
                <w:iCs/>
                <w:sz w:val="20"/>
                <w:szCs w:val="20"/>
              </w:rPr>
              <w:t xml:space="preserve">suscitando </w:t>
            </w:r>
            <w:r w:rsidR="003D46D3">
              <w:rPr>
                <w:rFonts w:eastAsia="Calibri" w:cstheme="minorHAnsi"/>
                <w:iCs/>
                <w:sz w:val="20"/>
                <w:szCs w:val="20"/>
              </w:rPr>
              <w:t>por un lado la simpatía y empatía vecinal hacia el proyecto y por otro de forma simétr</w:t>
            </w:r>
            <w:r w:rsidR="00A8425D">
              <w:rPr>
                <w:rFonts w:eastAsia="Calibri" w:cstheme="minorHAnsi"/>
                <w:iCs/>
                <w:sz w:val="20"/>
                <w:szCs w:val="20"/>
              </w:rPr>
              <w:t>i</w:t>
            </w:r>
            <w:r w:rsidR="003D46D3">
              <w:rPr>
                <w:rFonts w:eastAsia="Calibri" w:cstheme="minorHAnsi"/>
                <w:iCs/>
                <w:sz w:val="20"/>
                <w:szCs w:val="20"/>
              </w:rPr>
              <w:t>ca</w:t>
            </w:r>
            <w:r w:rsidRPr="008461EB">
              <w:rPr>
                <w:rFonts w:eastAsia="Calibri" w:cstheme="minorHAnsi"/>
                <w:iCs/>
                <w:sz w:val="20"/>
                <w:szCs w:val="20"/>
              </w:rPr>
              <w:t xml:space="preserve"> la transferencia de conocimiento a diferentes sectores académicos y profesionales. </w:t>
            </w:r>
          </w:p>
          <w:p w:rsidR="008461EB" w:rsidRPr="008461EB" w:rsidRDefault="008461EB" w:rsidP="00DA109D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8461EB">
              <w:rPr>
                <w:rFonts w:eastAsia="Calibri" w:cstheme="minorHAnsi"/>
                <w:iCs/>
                <w:sz w:val="20"/>
                <w:szCs w:val="20"/>
              </w:rPr>
              <w:t xml:space="preserve">El plan de comunicación </w:t>
            </w:r>
            <w:r w:rsidR="003D46D3">
              <w:rPr>
                <w:rFonts w:eastAsia="Calibri" w:cstheme="minorHAnsi"/>
                <w:iCs/>
                <w:sz w:val="20"/>
                <w:szCs w:val="20"/>
              </w:rPr>
              <w:t xml:space="preserve">también </w:t>
            </w:r>
            <w:r w:rsidRPr="008461EB">
              <w:rPr>
                <w:rFonts w:eastAsia="Calibri" w:cstheme="minorHAnsi"/>
                <w:iCs/>
                <w:sz w:val="20"/>
                <w:szCs w:val="20"/>
              </w:rPr>
              <w:t xml:space="preserve">estará vinculado tanto a la acción C1 como a la C3 en cuanto a la comunicación de los mecanismos de gobernanza como a los datos de los indicadores, que servirán para trasladar la importancia del proyecto y los resultados obtenidos. </w:t>
            </w:r>
          </w:p>
          <w:p w:rsidR="008928CA" w:rsidRDefault="001764B6" w:rsidP="00DA109D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Este Plan </w:t>
            </w:r>
            <w:r w:rsidR="00461D12">
              <w:rPr>
                <w:rFonts w:eastAsia="Calibri" w:cstheme="minorHAnsi"/>
                <w:iCs/>
                <w:sz w:val="20"/>
                <w:szCs w:val="20"/>
              </w:rPr>
              <w:t xml:space="preserve">persigue tres objetivos principales: </w:t>
            </w:r>
          </w:p>
          <w:p w:rsidR="009D2D30" w:rsidRDefault="009D2D30" w:rsidP="00DA109D">
            <w:pPr>
              <w:pStyle w:val="Prrafodelista"/>
              <w:numPr>
                <w:ilvl w:val="0"/>
                <w:numId w:val="1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Familiarizar a la vecindad con los vocablos, términos, expresiones que se utilizará en todo el proceso, es fundamental transformar los tecnicismos y la jerga de la propia subvención en conceptos amables</w:t>
            </w:r>
            <w:r w:rsidR="00BC2F42">
              <w:rPr>
                <w:rFonts w:eastAsia="Calibri" w:cstheme="minorHAnsi"/>
                <w:iCs/>
                <w:sz w:val="20"/>
                <w:szCs w:val="20"/>
              </w:rPr>
              <w:t xml:space="preserve">, comprensibles 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y sensibles.</w:t>
            </w:r>
          </w:p>
          <w:p w:rsidR="008928CA" w:rsidRDefault="008928CA" w:rsidP="00DA109D">
            <w:pPr>
              <w:pStyle w:val="Prrafodelista"/>
              <w:numPr>
                <w:ilvl w:val="0"/>
                <w:numId w:val="1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I</w:t>
            </w:r>
            <w:r w:rsidR="006A27CA" w:rsidRPr="008928CA">
              <w:rPr>
                <w:rFonts w:eastAsia="Calibri" w:cstheme="minorHAnsi"/>
                <w:iCs/>
                <w:sz w:val="20"/>
                <w:szCs w:val="20"/>
              </w:rPr>
              <w:t xml:space="preserve">nformar </w:t>
            </w:r>
            <w:r w:rsidR="00A8425D">
              <w:rPr>
                <w:rFonts w:eastAsia="Calibri" w:cstheme="minorHAnsi"/>
                <w:iCs/>
                <w:sz w:val="20"/>
                <w:szCs w:val="20"/>
              </w:rPr>
              <w:t xml:space="preserve">y sensibilizar </w:t>
            </w:r>
            <w:r w:rsidR="006A27CA" w:rsidRPr="008928CA">
              <w:rPr>
                <w:rFonts w:eastAsia="Calibri" w:cstheme="minorHAnsi"/>
                <w:iCs/>
                <w:sz w:val="20"/>
                <w:szCs w:val="20"/>
              </w:rPr>
              <w:t>a la ciudadanía sobre las actuaciones realizadas e</w:t>
            </w:r>
            <w:r w:rsidR="00E23E35" w:rsidRPr="008928CA">
              <w:rPr>
                <w:rFonts w:eastAsia="Calibri" w:cstheme="minorHAnsi"/>
                <w:iCs/>
                <w:sz w:val="20"/>
                <w:szCs w:val="20"/>
              </w:rPr>
              <w:t>n</w:t>
            </w:r>
            <w:r w:rsidR="006A27CA" w:rsidRPr="008928CA">
              <w:rPr>
                <w:rFonts w:eastAsia="Calibri" w:cstheme="minorHAnsi"/>
                <w:iCs/>
                <w:sz w:val="20"/>
                <w:szCs w:val="20"/>
              </w:rPr>
              <w:t xml:space="preserve"> el proyecto</w:t>
            </w:r>
            <w:r w:rsidR="00E23E35" w:rsidRPr="008928CA">
              <w:rPr>
                <w:rFonts w:eastAsia="Calibri" w:cstheme="minorHAnsi"/>
                <w:iCs/>
                <w:sz w:val="20"/>
                <w:szCs w:val="20"/>
              </w:rPr>
              <w:t xml:space="preserve"> IVLA</w:t>
            </w:r>
            <w:r w:rsidR="006A27CA" w:rsidRPr="008928CA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E23E35" w:rsidRPr="008928CA">
              <w:rPr>
                <w:rFonts w:eastAsia="Calibri" w:cstheme="minorHAnsi"/>
                <w:iCs/>
                <w:sz w:val="20"/>
                <w:szCs w:val="20"/>
              </w:rPr>
              <w:t xml:space="preserve">sus </w:t>
            </w:r>
            <w:r w:rsidR="006A27CA" w:rsidRPr="008928CA">
              <w:rPr>
                <w:rFonts w:eastAsia="Calibri" w:cstheme="minorHAnsi"/>
                <w:iCs/>
                <w:sz w:val="20"/>
                <w:szCs w:val="20"/>
              </w:rPr>
              <w:t>objetivos, procesos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6A27CA" w:rsidRPr="008928CA">
              <w:rPr>
                <w:rFonts w:eastAsia="Calibri" w:cstheme="minorHAnsi"/>
                <w:iCs/>
                <w:sz w:val="20"/>
                <w:szCs w:val="20"/>
              </w:rPr>
              <w:t xml:space="preserve">resultados </w:t>
            </w:r>
            <w:r w:rsidR="00105B23">
              <w:rPr>
                <w:rFonts w:eastAsia="Calibri" w:cstheme="minorHAnsi"/>
                <w:iCs/>
                <w:sz w:val="20"/>
                <w:szCs w:val="20"/>
              </w:rPr>
              <w:t>e indicadores clave</w:t>
            </w:r>
            <w:r w:rsidR="00BC2F42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105B23" w:rsidRDefault="00105B23" w:rsidP="00DA109D">
            <w:pPr>
              <w:pStyle w:val="Prrafodelista"/>
              <w:numPr>
                <w:ilvl w:val="0"/>
                <w:numId w:val="1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A</w:t>
            </w:r>
            <w:r w:rsidR="001764B6" w:rsidRPr="008928CA">
              <w:rPr>
                <w:rFonts w:eastAsia="Calibri" w:cstheme="minorHAnsi"/>
                <w:iCs/>
                <w:sz w:val="20"/>
                <w:szCs w:val="20"/>
              </w:rPr>
              <w:t xml:space="preserve">linearse con </w:t>
            </w:r>
            <w:r w:rsidR="008461EB" w:rsidRPr="008928CA">
              <w:rPr>
                <w:rFonts w:eastAsia="Calibri" w:cstheme="minorHAnsi"/>
                <w:iCs/>
                <w:sz w:val="20"/>
                <w:szCs w:val="20"/>
              </w:rPr>
              <w:t xml:space="preserve">la gobernanza y retroalimentarse de la opinión </w:t>
            </w:r>
            <w:r w:rsidR="00DA109D">
              <w:rPr>
                <w:rFonts w:eastAsia="Calibri" w:cstheme="minorHAnsi"/>
                <w:iCs/>
                <w:sz w:val="20"/>
                <w:szCs w:val="20"/>
              </w:rPr>
              <w:t xml:space="preserve">y protagonismo </w:t>
            </w:r>
            <w:r w:rsidR="00DA109D" w:rsidRPr="008928CA">
              <w:rPr>
                <w:rFonts w:eastAsia="Calibri" w:cstheme="minorHAnsi"/>
                <w:iCs/>
                <w:sz w:val="20"/>
                <w:szCs w:val="20"/>
              </w:rPr>
              <w:t>de la pob</w:t>
            </w:r>
            <w:r w:rsidR="00DA109D">
              <w:rPr>
                <w:rFonts w:eastAsia="Calibri" w:cstheme="minorHAnsi"/>
                <w:iCs/>
                <w:sz w:val="20"/>
                <w:szCs w:val="20"/>
              </w:rPr>
              <w:t>lación como ya hemos analizado en C1.</w:t>
            </w:r>
          </w:p>
          <w:p w:rsidR="003F678D" w:rsidRDefault="00105B23" w:rsidP="00DA109D">
            <w:pPr>
              <w:pStyle w:val="Prrafodelista"/>
              <w:numPr>
                <w:ilvl w:val="0"/>
                <w:numId w:val="1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C</w:t>
            </w:r>
            <w:r w:rsidR="008461EB" w:rsidRPr="008928CA">
              <w:rPr>
                <w:rFonts w:eastAsia="Calibri" w:cstheme="minorHAnsi"/>
                <w:iCs/>
                <w:sz w:val="20"/>
                <w:szCs w:val="20"/>
              </w:rPr>
              <w:t>ontribuir a la sensibilización y educación ambiental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, poniendo el foco en </w:t>
            </w:r>
            <w:r w:rsidR="00721A22">
              <w:rPr>
                <w:rFonts w:eastAsia="Calibri" w:cstheme="minorHAnsi"/>
                <w:iCs/>
                <w:sz w:val="20"/>
                <w:szCs w:val="20"/>
              </w:rPr>
              <w:t>los retos a los que se enfrentan las ciudades en términos de adaptación al cambio climático y pérdida de la biodiversidad</w:t>
            </w:r>
            <w:r w:rsidR="001F3FC1" w:rsidRPr="008928CA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7B082D" w:rsidRDefault="007B082D" w:rsidP="00DA109D">
            <w:pPr>
              <w:pStyle w:val="Prrafodelista"/>
              <w:numPr>
                <w:ilvl w:val="0"/>
                <w:numId w:val="1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Cumplir de forma estricta con </w:t>
            </w:r>
            <w:r w:rsidR="004A4632">
              <w:rPr>
                <w:rFonts w:eastAsia="Calibri" w:cstheme="minorHAnsi"/>
                <w:iCs/>
                <w:sz w:val="20"/>
                <w:szCs w:val="20"/>
              </w:rPr>
              <w:t>las obligaciones d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el art.27.5 de la Resolución de la Convocatoria: Comunicación y </w:t>
            </w:r>
            <w:r w:rsidR="00B71A22">
              <w:rPr>
                <w:rFonts w:eastAsia="Calibri" w:cstheme="minorHAnsi"/>
                <w:iCs/>
                <w:sz w:val="20"/>
                <w:szCs w:val="20"/>
              </w:rPr>
              <w:t>V</w:t>
            </w:r>
            <w:r>
              <w:rPr>
                <w:rFonts w:eastAsia="Calibri" w:cstheme="minorHAnsi"/>
                <w:iCs/>
                <w:sz w:val="20"/>
                <w:szCs w:val="20"/>
              </w:rPr>
              <w:t>isibilidad.</w:t>
            </w:r>
          </w:p>
          <w:p w:rsidR="002E6EF5" w:rsidRPr="002E6EF5" w:rsidRDefault="00DA109D" w:rsidP="00DA109D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Se impondrá</w:t>
            </w:r>
            <w:r w:rsidR="002E6EF5">
              <w:rPr>
                <w:rFonts w:eastAsia="Calibri" w:cstheme="minorHAnsi"/>
                <w:iCs/>
                <w:sz w:val="20"/>
                <w:szCs w:val="20"/>
              </w:rPr>
              <w:t xml:space="preserve"> la participación paritaria en todas y cada una de las acciones divulgativas previstas.</w:t>
            </w:r>
          </w:p>
        </w:tc>
      </w:tr>
      <w:tr w:rsidR="00471599" w:rsidRPr="00266FF7" w:rsidTr="00590B49">
        <w:trPr>
          <w:trHeight w:val="499"/>
        </w:trPr>
        <w:tc>
          <w:tcPr>
            <w:tcW w:w="10773" w:type="dxa"/>
            <w:gridSpan w:val="3"/>
            <w:shd w:val="clear" w:color="auto" w:fill="31849B" w:themeFill="accent5" w:themeFillShade="BF"/>
          </w:tcPr>
          <w:p w:rsidR="00471599" w:rsidRPr="00266FF7" w:rsidRDefault="00471599" w:rsidP="0047159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Descripción de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portar la información necesaria para explicar su alcance, detallando las fases/tareas que engloba, demostrando su contribución a los objetivos</w:t>
            </w:r>
            <w:r w:rsidR="00560D82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y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haciendo mención específica a los resultados esperados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.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Cuando la acción se ejecute en agrupación, especificar cómo se plantea el reparto de trabajo por entidad)</w:t>
            </w:r>
            <w:r w:rsidR="005A78F8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47ED4" w:rsidRPr="00266FF7" w:rsidTr="005A78F8">
        <w:trPr>
          <w:trHeight w:val="428"/>
        </w:trPr>
        <w:tc>
          <w:tcPr>
            <w:tcW w:w="10773" w:type="dxa"/>
            <w:gridSpan w:val="3"/>
            <w:shd w:val="clear" w:color="auto" w:fill="auto"/>
          </w:tcPr>
          <w:p w:rsidR="0071693F" w:rsidRDefault="0071693F" w:rsidP="00E75D40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</w:p>
          <w:p w:rsidR="0071693F" w:rsidRPr="0071693F" w:rsidRDefault="0071693F" w:rsidP="00E75D40">
            <w:pPr>
              <w:spacing w:after="120" w:line="240" w:lineRule="auto"/>
              <w:jc w:val="both"/>
              <w:rPr>
                <w:rFonts w:eastAsia="Calibri" w:cstheme="minorHAnsi"/>
                <w:b/>
                <w:iCs/>
                <w:sz w:val="20"/>
                <w:szCs w:val="20"/>
              </w:rPr>
            </w:pPr>
            <w:r w:rsidRPr="0071693F">
              <w:rPr>
                <w:rFonts w:eastAsia="Calibri" w:cstheme="minorHAnsi"/>
                <w:b/>
                <w:iCs/>
                <w:sz w:val="20"/>
                <w:szCs w:val="20"/>
              </w:rPr>
              <w:t>Actuación 1</w:t>
            </w:r>
            <w:r>
              <w:rPr>
                <w:rFonts w:eastAsia="Calibri" w:cstheme="minorHAnsi"/>
                <w:b/>
                <w:iCs/>
                <w:sz w:val="20"/>
                <w:szCs w:val="20"/>
              </w:rPr>
              <w:t>)</w:t>
            </w:r>
            <w:r w:rsidRPr="0071693F">
              <w:rPr>
                <w:rFonts w:eastAsia="Calibri" w:cstheme="minorHAnsi"/>
                <w:b/>
                <w:iCs/>
                <w:sz w:val="20"/>
                <w:szCs w:val="20"/>
              </w:rPr>
              <w:t>Manual de Estilo</w:t>
            </w:r>
            <w:r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FEDER REACTIVACIÓN IVLA ANDÚJAR</w:t>
            </w:r>
          </w:p>
          <w:p w:rsidR="007B6F6E" w:rsidRDefault="00E30A63" w:rsidP="00E75D40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Para </w:t>
            </w:r>
            <w:r w:rsidR="009F6749">
              <w:rPr>
                <w:rFonts w:eastAsia="Calibri" w:cstheme="minorHAnsi"/>
                <w:iCs/>
                <w:sz w:val="20"/>
                <w:szCs w:val="20"/>
              </w:rPr>
              <w:t>alcanzar</w:t>
            </w:r>
            <w:r w:rsidR="00C81694">
              <w:rPr>
                <w:rFonts w:eastAsia="Calibri" w:cstheme="minorHAnsi"/>
                <w:iCs/>
                <w:sz w:val="20"/>
                <w:szCs w:val="20"/>
              </w:rPr>
              <w:t>los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, se elaborará un Plan de Comunicación y Sensibilización,</w:t>
            </w:r>
            <w:r w:rsidR="00B24947">
              <w:rPr>
                <w:rFonts w:eastAsia="Calibri" w:cstheme="minorHAnsi"/>
                <w:iCs/>
                <w:sz w:val="20"/>
                <w:szCs w:val="20"/>
              </w:rPr>
              <w:t xml:space="preserve"> sujeto a un “</w:t>
            </w:r>
            <w:r w:rsidR="00B24947" w:rsidRPr="00B24947">
              <w:rPr>
                <w:rFonts w:eastAsia="Calibri" w:cstheme="minorHAnsi"/>
                <w:b/>
                <w:iCs/>
                <w:sz w:val="20"/>
                <w:szCs w:val="20"/>
              </w:rPr>
              <w:t>Manual de Estilo</w:t>
            </w:r>
            <w:r w:rsidR="001F0A39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FEDER IVLA Andújar </w:t>
            </w:r>
            <w:r w:rsidR="00B24947" w:rsidRPr="00B24947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sostenible, de género y veraz”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que </w:t>
            </w:r>
            <w:r w:rsidR="00B24947">
              <w:rPr>
                <w:rFonts w:eastAsia="Calibri" w:cstheme="minorHAnsi"/>
                <w:iCs/>
                <w:sz w:val="20"/>
                <w:szCs w:val="20"/>
              </w:rPr>
              <w:t xml:space="preserve">ampliará y asentará los </w:t>
            </w:r>
            <w:r w:rsidR="009F6749">
              <w:rPr>
                <w:rFonts w:eastAsia="Calibri" w:cstheme="minorHAnsi"/>
                <w:iCs/>
                <w:sz w:val="20"/>
                <w:szCs w:val="20"/>
              </w:rPr>
              <w:t>objetivos</w:t>
            </w:r>
            <w:r w:rsidR="00B24947">
              <w:rPr>
                <w:rFonts w:eastAsia="Calibri" w:cstheme="minorHAnsi"/>
                <w:iCs/>
                <w:sz w:val="20"/>
                <w:szCs w:val="20"/>
              </w:rPr>
              <w:t xml:space="preserve"> arriba enunciados,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C81694">
              <w:rPr>
                <w:rFonts w:eastAsia="Calibri" w:cstheme="minorHAnsi"/>
                <w:iCs/>
                <w:sz w:val="20"/>
                <w:szCs w:val="20"/>
              </w:rPr>
              <w:t>y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defi</w:t>
            </w:r>
            <w:r w:rsidR="00CE31DC">
              <w:rPr>
                <w:rFonts w:eastAsia="Calibri" w:cstheme="minorHAnsi"/>
                <w:iCs/>
                <w:sz w:val="20"/>
                <w:szCs w:val="20"/>
              </w:rPr>
              <w:t>ni</w:t>
            </w:r>
            <w:r w:rsidR="00C81694">
              <w:rPr>
                <w:rFonts w:eastAsia="Calibri" w:cstheme="minorHAnsi"/>
                <w:iCs/>
                <w:sz w:val="20"/>
                <w:szCs w:val="20"/>
              </w:rPr>
              <w:t>rá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el tono y estilo de las comunicaciones y </w:t>
            </w:r>
            <w:r w:rsidR="00AA27B7">
              <w:rPr>
                <w:rFonts w:eastAsia="Calibri" w:cstheme="minorHAnsi"/>
                <w:iCs/>
                <w:sz w:val="20"/>
                <w:szCs w:val="20"/>
              </w:rPr>
              <w:t xml:space="preserve">de los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materiales vinculados al proyecto, la identidad visual</w:t>
            </w:r>
            <w:r w:rsidR="001127CC">
              <w:rPr>
                <w:rFonts w:eastAsia="Calibri" w:cstheme="minorHAnsi"/>
                <w:iCs/>
                <w:sz w:val="20"/>
                <w:szCs w:val="20"/>
              </w:rPr>
              <w:t xml:space="preserve"> y gráfica</w:t>
            </w:r>
            <w:r w:rsidR="00AA27B7">
              <w:rPr>
                <w:rFonts w:eastAsia="Calibri" w:cstheme="minorHAnsi"/>
                <w:iCs/>
                <w:sz w:val="20"/>
                <w:szCs w:val="20"/>
              </w:rPr>
              <w:t xml:space="preserve"> exigida por l</w:t>
            </w:r>
            <w:r w:rsidR="00B24947">
              <w:rPr>
                <w:rFonts w:eastAsia="Calibri" w:cstheme="minorHAnsi"/>
                <w:iCs/>
                <w:sz w:val="20"/>
                <w:szCs w:val="20"/>
              </w:rPr>
              <w:t>a</w:t>
            </w:r>
            <w:r w:rsidR="00AA27B7">
              <w:rPr>
                <w:rFonts w:eastAsia="Calibri" w:cstheme="minorHAnsi"/>
                <w:iCs/>
                <w:sz w:val="20"/>
                <w:szCs w:val="20"/>
              </w:rPr>
              <w:t xml:space="preserve"> Convocatoria y la</w:t>
            </w:r>
            <w:r w:rsidR="00B24947">
              <w:rPr>
                <w:rFonts w:eastAsia="Calibri" w:cstheme="minorHAnsi"/>
                <w:iCs/>
                <w:sz w:val="20"/>
                <w:szCs w:val="20"/>
              </w:rPr>
              <w:t xml:space="preserve"> idoneidad y manual de estilo de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redes de comunicación a emplear</w:t>
            </w:r>
            <w:r w:rsidR="00AA27B7">
              <w:rPr>
                <w:rFonts w:eastAsia="Calibri" w:cstheme="minorHAnsi"/>
                <w:iCs/>
                <w:sz w:val="20"/>
                <w:szCs w:val="20"/>
              </w:rPr>
              <w:t>. En todos los formatos y vías habrá de imponerse la normalización de</w:t>
            </w:r>
            <w:r w:rsidR="00C51A34">
              <w:rPr>
                <w:rFonts w:eastAsia="Calibri" w:cstheme="minorHAnsi"/>
                <w:iCs/>
                <w:sz w:val="20"/>
                <w:szCs w:val="20"/>
              </w:rPr>
              <w:t xml:space="preserve"> la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perspectiva de género, </w:t>
            </w:r>
            <w:r w:rsidR="00B24947">
              <w:rPr>
                <w:rFonts w:eastAsia="Calibri" w:cstheme="minorHAnsi"/>
                <w:iCs/>
                <w:sz w:val="20"/>
                <w:szCs w:val="20"/>
              </w:rPr>
              <w:t xml:space="preserve">y prevenir la difusión de información falsa o </w:t>
            </w:r>
            <w:proofErr w:type="spellStart"/>
            <w:r w:rsidR="00B24947">
              <w:rPr>
                <w:rFonts w:eastAsia="Calibri" w:cstheme="minorHAnsi"/>
                <w:iCs/>
                <w:sz w:val="20"/>
                <w:szCs w:val="20"/>
              </w:rPr>
              <w:t>malediciente</w:t>
            </w:r>
            <w:proofErr w:type="spellEnd"/>
            <w:r w:rsidR="00B24947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para la cual habrá que valorar hábitos diferenciales,</w:t>
            </w:r>
            <w:r w:rsidR="00AA27B7">
              <w:rPr>
                <w:rFonts w:eastAsia="Calibri" w:cstheme="minorHAnsi"/>
                <w:iCs/>
                <w:sz w:val="20"/>
                <w:szCs w:val="20"/>
              </w:rPr>
              <w:t xml:space="preserve"> de movilidad, percepción, uso, emoción, deambulación,…</w:t>
            </w:r>
          </w:p>
          <w:p w:rsidR="00E30A63" w:rsidRDefault="00E30A63" w:rsidP="00E75D40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Asimismo, </w:t>
            </w:r>
            <w:r w:rsidR="004C0CAC">
              <w:rPr>
                <w:rFonts w:eastAsia="Calibri" w:cstheme="minorHAnsi"/>
                <w:iCs/>
                <w:sz w:val="20"/>
                <w:szCs w:val="20"/>
              </w:rPr>
              <w:t xml:space="preserve">se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incluirá un calendario de </w:t>
            </w:r>
            <w:r w:rsidR="007F17A9">
              <w:rPr>
                <w:rFonts w:eastAsia="Calibri" w:cstheme="minorHAnsi"/>
                <w:iCs/>
                <w:sz w:val="20"/>
                <w:szCs w:val="20"/>
              </w:rPr>
              <w:t xml:space="preserve">emisión de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contenidos, una estrategia de redes sociales y un plan de acción con los pasos necesarios para poner en práctica las actuaciones que se detallan a continuación.</w:t>
            </w:r>
            <w:r w:rsidR="00C51A34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141D04" w:rsidRDefault="00141D04" w:rsidP="00E75D40">
            <w:pPr>
              <w:pBdr>
                <w:bottom w:val="single" w:sz="6" w:space="1" w:color="auto"/>
              </w:pBd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141D04">
              <w:rPr>
                <w:rFonts w:eastAsia="Calibri" w:cstheme="minorHAnsi"/>
                <w:b/>
                <w:iCs/>
                <w:sz w:val="20"/>
                <w:szCs w:val="20"/>
              </w:rPr>
              <w:t>Resultado esperado: Diseño Manual Estilo</w:t>
            </w:r>
            <w:r w:rsidR="00CF4DA6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Sostenible, de Género y Veraz del</w:t>
            </w:r>
            <w:r w:rsidRPr="00141D04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Plan de Comunicación y Sens</w:t>
            </w:r>
            <w:r>
              <w:rPr>
                <w:rFonts w:eastAsia="Calibri" w:cstheme="minorHAnsi"/>
                <w:b/>
                <w:iCs/>
                <w:sz w:val="20"/>
                <w:szCs w:val="20"/>
              </w:rPr>
              <w:t>i</w:t>
            </w:r>
            <w:r w:rsidRPr="00141D04">
              <w:rPr>
                <w:rFonts w:eastAsia="Calibri" w:cstheme="minorHAnsi"/>
                <w:b/>
                <w:iCs/>
                <w:sz w:val="20"/>
                <w:szCs w:val="20"/>
              </w:rPr>
              <w:t>bilización FEDER IVLA Andújar</w:t>
            </w:r>
            <w:r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E30A63" w:rsidRPr="00E30A63" w:rsidRDefault="00E30A63" w:rsidP="00F600EE">
            <w:p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</w:t>
            </w:r>
            <w:r w:rsidR="00141D0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uación</w:t>
            </w:r>
            <w:r w:rsidR="0071693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2</w:t>
            </w:r>
            <w:r w:rsidRPr="00E30A6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) Difusión </w:t>
            </w:r>
            <w:r w:rsidR="00D00B6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y visibilidad </w:t>
            </w:r>
            <w:r w:rsidRPr="00E30A6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del proyecto.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Se contemplan las siguientes actividades:</w:t>
            </w:r>
          </w:p>
          <w:p w:rsidR="00E30A63" w:rsidRDefault="00E30A63" w:rsidP="001127CC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>Página web y actividad digital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: Creación de una página web</w:t>
            </w:r>
            <w:r w:rsidR="00B13AD4">
              <w:rPr>
                <w:rFonts w:eastAsia="Calibri" w:cstheme="minorHAnsi"/>
                <w:iCs/>
                <w:sz w:val="20"/>
                <w:szCs w:val="20"/>
              </w:rPr>
              <w:t xml:space="preserve"> FEDER REACTIVACIÓN IVLA ANDÚJAR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y alimentación con información sobre el proyecto, las diferentes acciones, sus objetivos, gobernanza , información de contacto, así como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lastRenderedPageBreak/>
              <w:t>información sobre su progreso y resultados finales. Creación de perfiles en redes sociales (ej.: Facebook, Instagram, y Twitter</w:t>
            </w:r>
            <w:r w:rsidR="00C474CB">
              <w:rPr>
                <w:rFonts w:eastAsia="Calibri" w:cstheme="minorHAnsi"/>
                <w:iCs/>
                <w:sz w:val="20"/>
                <w:szCs w:val="20"/>
              </w:rPr>
              <w:t>-X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) y publicación periódica de actividades del proyecto.</w:t>
            </w:r>
            <w:r w:rsidR="00775D16">
              <w:rPr>
                <w:rFonts w:eastAsia="Calibri" w:cstheme="minorHAnsi"/>
                <w:iCs/>
                <w:sz w:val="20"/>
                <w:szCs w:val="20"/>
              </w:rPr>
              <w:t xml:space="preserve"> La media de edad en el municipio de Andújar es de </w:t>
            </w:r>
            <w:r w:rsidR="009041E8">
              <w:rPr>
                <w:rFonts w:eastAsia="Calibri" w:cstheme="minorHAnsi"/>
                <w:iCs/>
                <w:sz w:val="20"/>
                <w:szCs w:val="20"/>
              </w:rPr>
              <w:t>43,8 años, por lo que los medios digitales serán una herramienta de gran relevancia.</w:t>
            </w:r>
            <w:r w:rsidR="00420184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F7140E">
              <w:rPr>
                <w:rFonts w:eastAsia="Calibri" w:cstheme="minorHAnsi"/>
                <w:iCs/>
                <w:sz w:val="20"/>
                <w:szCs w:val="20"/>
              </w:rPr>
              <w:t xml:space="preserve">Esta comunicación será ejecutada por una contratación externa y se alimentará a través de la Oficina Técnica Municipal </w:t>
            </w:r>
            <w:r w:rsidR="00BE6B05">
              <w:rPr>
                <w:rFonts w:eastAsia="Calibri" w:cstheme="minorHAnsi"/>
                <w:iCs/>
                <w:sz w:val="20"/>
                <w:szCs w:val="20"/>
              </w:rPr>
              <w:t xml:space="preserve">(OTM) </w:t>
            </w:r>
            <w:r w:rsidR="00F7140E">
              <w:rPr>
                <w:rFonts w:eastAsia="Calibri" w:cstheme="minorHAnsi"/>
                <w:iCs/>
                <w:sz w:val="20"/>
                <w:szCs w:val="20"/>
              </w:rPr>
              <w:t xml:space="preserve">(C1) y apoyada por </w:t>
            </w:r>
            <w:r w:rsidR="000B2787">
              <w:rPr>
                <w:rFonts w:eastAsia="Calibri" w:cstheme="minorHAnsi"/>
                <w:iCs/>
                <w:sz w:val="20"/>
                <w:szCs w:val="20"/>
              </w:rPr>
              <w:t>el personal de comunicación del Ayuntamiento, alineando contenidos con la estrategia municipal.</w:t>
            </w:r>
          </w:p>
          <w:p w:rsidR="00610969" w:rsidRPr="00610969" w:rsidRDefault="00610969" w:rsidP="00610969">
            <w:pPr>
              <w:spacing w:after="120" w:line="240" w:lineRule="auto"/>
              <w:ind w:left="720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61096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 esperado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 creación de página WEB y creación perfiles redes sociales</w:t>
            </w:r>
            <w:r w:rsidR="00221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del proyecto Reactivación Ecológica IVLA-Andújar.</w:t>
            </w:r>
          </w:p>
          <w:p w:rsidR="007F5E2E" w:rsidRDefault="00E30A63" w:rsidP="007F5E2E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>Aparición en medios de comunicación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: Prensa, televisión y radio y digitales</w:t>
            </w:r>
            <w:r w:rsidR="001127CC">
              <w:rPr>
                <w:rFonts w:eastAsia="Calibri" w:cstheme="minorHAnsi"/>
                <w:iCs/>
                <w:sz w:val="20"/>
                <w:szCs w:val="20"/>
              </w:rPr>
              <w:t>, locales y provinciales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. Se realizarán al menos </w:t>
            </w:r>
            <w:r w:rsidR="00CF4DA6">
              <w:rPr>
                <w:rFonts w:eastAsia="Calibri" w:cstheme="minorHAnsi"/>
                <w:iCs/>
                <w:sz w:val="20"/>
                <w:szCs w:val="20"/>
              </w:rPr>
              <w:t>8</w:t>
            </w:r>
            <w:r w:rsidR="00893518">
              <w:rPr>
                <w:rFonts w:eastAsia="Calibri" w:cstheme="minorHAnsi"/>
                <w:iCs/>
                <w:sz w:val="20"/>
                <w:szCs w:val="20"/>
              </w:rPr>
              <w:t xml:space="preserve"> campañas de difusión/divulgación por la mayoría de los medios disponibles con más proyección mediática; dichas campañas reflejarán los momentos claves del proyecto: su inicio, firma Compromiso, proceso participativo, desarrollo de las </w:t>
            </w:r>
            <w:r w:rsidR="00CF4DA6">
              <w:rPr>
                <w:rFonts w:eastAsia="Calibri" w:cstheme="minorHAnsi"/>
                <w:iCs/>
                <w:sz w:val="20"/>
                <w:szCs w:val="20"/>
              </w:rPr>
              <w:t xml:space="preserve">distintas </w:t>
            </w:r>
            <w:r w:rsidR="00893518">
              <w:rPr>
                <w:rFonts w:eastAsia="Calibri" w:cstheme="minorHAnsi"/>
                <w:iCs/>
                <w:sz w:val="20"/>
                <w:szCs w:val="20"/>
              </w:rPr>
              <w:t>obras, difusión resultados y final del proyecto. E</w:t>
            </w:r>
            <w:r w:rsidR="00673458">
              <w:rPr>
                <w:rFonts w:eastAsia="Calibri" w:cstheme="minorHAnsi"/>
                <w:iCs/>
                <w:sz w:val="20"/>
                <w:szCs w:val="20"/>
              </w:rPr>
              <w:t xml:space="preserve">l contenido </w:t>
            </w:r>
            <w:r w:rsidR="00893518">
              <w:rPr>
                <w:rFonts w:eastAsia="Calibri" w:cstheme="minorHAnsi"/>
                <w:iCs/>
                <w:sz w:val="20"/>
                <w:szCs w:val="20"/>
              </w:rPr>
              <w:t>(notas</w:t>
            </w:r>
            <w:r w:rsidR="005A3C4E">
              <w:rPr>
                <w:rFonts w:eastAsia="Calibri" w:cstheme="minorHAnsi"/>
                <w:iCs/>
                <w:sz w:val="20"/>
                <w:szCs w:val="20"/>
              </w:rPr>
              <w:t xml:space="preserve"> de prensa</w:t>
            </w:r>
            <w:r w:rsidR="00893518">
              <w:rPr>
                <w:rFonts w:eastAsia="Calibri" w:cstheme="minorHAnsi"/>
                <w:iCs/>
                <w:sz w:val="20"/>
                <w:szCs w:val="20"/>
              </w:rPr>
              <w:t xml:space="preserve">, reportajes, artículos, entrevistas, magacines, grabaciones,…) </w:t>
            </w:r>
            <w:r w:rsidR="00673458">
              <w:rPr>
                <w:rFonts w:eastAsia="Calibri" w:cstheme="minorHAnsi"/>
                <w:iCs/>
                <w:sz w:val="20"/>
                <w:szCs w:val="20"/>
              </w:rPr>
              <w:t>para est</w:t>
            </w:r>
            <w:r w:rsidR="00BE6B05">
              <w:rPr>
                <w:rFonts w:eastAsia="Calibri" w:cstheme="minorHAnsi"/>
                <w:iCs/>
                <w:sz w:val="20"/>
                <w:szCs w:val="20"/>
              </w:rPr>
              <w:t>os medios se elaborará por la</w:t>
            </w:r>
            <w:r w:rsidR="00893518">
              <w:rPr>
                <w:rFonts w:eastAsia="Calibri" w:cstheme="minorHAnsi"/>
                <w:iCs/>
                <w:sz w:val="20"/>
                <w:szCs w:val="20"/>
              </w:rPr>
              <w:t xml:space="preserve"> propia </w:t>
            </w:r>
            <w:r w:rsidR="00BE6B05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BE6B05">
              <w:rPr>
                <w:rFonts w:eastAsia="Calibri" w:cstheme="minorHAnsi"/>
                <w:iCs/>
                <w:sz w:val="20"/>
                <w:szCs w:val="20"/>
              </w:rPr>
              <w:t>OTM.</w:t>
            </w:r>
            <w:r w:rsidR="00610969">
              <w:rPr>
                <w:rFonts w:eastAsia="Calibri" w:cstheme="minorHAnsi"/>
                <w:iCs/>
                <w:sz w:val="20"/>
                <w:szCs w:val="20"/>
              </w:rPr>
              <w:t>s</w:t>
            </w:r>
            <w:proofErr w:type="spellEnd"/>
            <w:r w:rsidR="007F5E2E">
              <w:rPr>
                <w:rFonts w:eastAsia="Calibri" w:cstheme="minorHAnsi"/>
                <w:iCs/>
                <w:sz w:val="20"/>
                <w:szCs w:val="20"/>
              </w:rPr>
              <w:t xml:space="preserve"> Se asegurará la presencia igualitaria de la mujer en todos esos formatos visuales.</w:t>
            </w:r>
          </w:p>
          <w:p w:rsidR="00610969" w:rsidRPr="00610969" w:rsidRDefault="00CF4DA6" w:rsidP="00610969">
            <w:pPr>
              <w:spacing w:after="120" w:line="240" w:lineRule="auto"/>
              <w:ind w:left="720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 esperados: 8</w:t>
            </w:r>
            <w:r w:rsidR="00610969" w:rsidRPr="0061096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campañas de comunicación</w:t>
            </w:r>
            <w:r w:rsidR="00D7307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de enfoque</w:t>
            </w:r>
            <w:r w:rsidR="00610969" w:rsidRPr="0061096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m</w:t>
            </w:r>
            <w:r w:rsidR="00D7307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ú</w:t>
            </w:r>
            <w:r w:rsidR="00610969" w:rsidRPr="0061096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ltiple, diversa y global.</w:t>
            </w:r>
          </w:p>
          <w:p w:rsidR="00E30A63" w:rsidRDefault="00E30A63" w:rsidP="00E145D9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>Elaboración de material divulgativo y de contenido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: Elaboración de</w:t>
            </w:r>
            <w:r w:rsidR="00E145D9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vídeos</w:t>
            </w:r>
            <w:r w:rsidR="00E145D9">
              <w:rPr>
                <w:rFonts w:eastAsia="Calibri" w:cstheme="minorHAnsi"/>
                <w:iCs/>
                <w:sz w:val="20"/>
                <w:szCs w:val="20"/>
              </w:rPr>
              <w:t>, newletter, infografías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para difundir </w:t>
            </w:r>
            <w:r w:rsidR="00E145D9">
              <w:rPr>
                <w:rFonts w:eastAsia="Calibri" w:cstheme="minorHAnsi"/>
                <w:iCs/>
                <w:sz w:val="20"/>
                <w:szCs w:val="20"/>
              </w:rPr>
              <w:t xml:space="preserve">el inicio, desarrollo y evaluación final,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en instituciones educativas</w:t>
            </w:r>
            <w:r w:rsidR="00673458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medios de comunicación</w:t>
            </w:r>
            <w:r w:rsidR="00673458">
              <w:rPr>
                <w:rFonts w:eastAsia="Calibri" w:cstheme="minorHAnsi"/>
                <w:iCs/>
                <w:sz w:val="20"/>
                <w:szCs w:val="20"/>
              </w:rPr>
              <w:t xml:space="preserve"> y redes sociales</w:t>
            </w:r>
            <w:r w:rsidR="00E145D9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que presente de forma atractiva, clara y concisa el objetivo del proyecto, medidas emprendidas y resultados esperados. </w:t>
            </w:r>
            <w:r w:rsidR="002219B2">
              <w:rPr>
                <w:rFonts w:eastAsia="Calibri" w:cstheme="minorHAnsi"/>
                <w:iCs/>
                <w:sz w:val="20"/>
                <w:szCs w:val="20"/>
              </w:rPr>
              <w:t>Se asegurará la presencia igualitaria de la mujer en todos esos formatos visuales.</w:t>
            </w:r>
          </w:p>
          <w:p w:rsidR="00E145D9" w:rsidRPr="00E145D9" w:rsidRDefault="00E145D9" w:rsidP="00E145D9">
            <w:pPr>
              <w:spacing w:after="120" w:line="240" w:lineRule="auto"/>
              <w:ind w:left="720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E145D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 esperados: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elaboración de 4 vídeos, 15 newletters y 6 infografías</w:t>
            </w:r>
            <w:r w:rsidR="00221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y acciones de difusión </w:t>
            </w:r>
            <w:r w:rsidR="00267B1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de dicho material en </w:t>
            </w:r>
            <w:r w:rsidR="00221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267B1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“</w:t>
            </w:r>
            <w:r w:rsidR="00221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web y redes </w:t>
            </w:r>
            <w:r w:rsidR="00267B1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</w:t>
            </w:r>
            <w:r w:rsidR="00221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eactivación Ecológica IVLA-Andújar</w:t>
            </w:r>
            <w:r w:rsidR="00267B1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”</w:t>
            </w:r>
            <w:r w:rsidR="002219B2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                                          </w:t>
            </w:r>
          </w:p>
          <w:p w:rsidR="007F5E2E" w:rsidRDefault="00E30A63" w:rsidP="007F5E2E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>Participación en conferencias nacionales e internacionales de regeneración urbana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: Participación en conferencias, seminarios o webinarios sobre re</w:t>
            </w:r>
            <w:r w:rsidR="002E6EF5">
              <w:rPr>
                <w:rFonts w:eastAsia="Calibri" w:cstheme="minorHAnsi"/>
                <w:iCs/>
                <w:sz w:val="20"/>
                <w:szCs w:val="20"/>
              </w:rPr>
              <w:t>naturalización urbana o equivalente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con el objetivo de difundir el proyecto e intercambiar experiencias con iniciativas similares. </w:t>
            </w:r>
            <w:r w:rsidR="007F5E2E">
              <w:rPr>
                <w:rFonts w:eastAsia="Calibri" w:cstheme="minorHAnsi"/>
                <w:iCs/>
                <w:sz w:val="20"/>
                <w:szCs w:val="20"/>
              </w:rPr>
              <w:t xml:space="preserve">Se asegurará la presencia igualitaria de la mujer en todos eso </w:t>
            </w:r>
            <w:proofErr w:type="spellStart"/>
            <w:r w:rsidR="007F5E2E">
              <w:rPr>
                <w:rFonts w:eastAsia="Calibri" w:cstheme="minorHAnsi"/>
                <w:iCs/>
                <w:sz w:val="20"/>
                <w:szCs w:val="20"/>
              </w:rPr>
              <w:t>eventps</w:t>
            </w:r>
            <w:proofErr w:type="spellEnd"/>
            <w:r w:rsidR="007F5E2E">
              <w:rPr>
                <w:rFonts w:eastAsia="Calibri" w:cstheme="minorHAnsi"/>
                <w:iCs/>
                <w:sz w:val="20"/>
                <w:szCs w:val="20"/>
              </w:rPr>
              <w:t xml:space="preserve"> formativos.</w:t>
            </w:r>
          </w:p>
          <w:p w:rsidR="00FD2119" w:rsidRPr="00851CCB" w:rsidRDefault="00851CCB" w:rsidP="00851CCB">
            <w:pPr>
              <w:spacing w:after="120" w:line="240" w:lineRule="auto"/>
              <w:ind w:left="720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851CC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 esperado</w:t>
            </w:r>
            <w:r w:rsidR="00BE574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s</w:t>
            </w:r>
            <w:r w:rsidRPr="00851CC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: Asistencia a 3 congresos, seminario o </w:t>
            </w:r>
            <w:proofErr w:type="spellStart"/>
            <w:r w:rsidRPr="00851CC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webminarios</w:t>
            </w:r>
            <w:proofErr w:type="spellEnd"/>
            <w:r w:rsidRPr="00851CC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</w:p>
          <w:p w:rsidR="00E30A63" w:rsidRDefault="00E30A63" w:rsidP="00851CCB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Paneles </w:t>
            </w:r>
            <w:r w:rsidR="00A16DE6">
              <w:rPr>
                <w:rFonts w:eastAsia="Calibri" w:cstheme="minorHAnsi"/>
                <w:iCs/>
                <w:sz w:val="20"/>
                <w:szCs w:val="20"/>
                <w:u w:val="single"/>
              </w:rPr>
              <w:t>explicativos de las actuaciones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:</w:t>
            </w:r>
            <w:r w:rsidR="00A16DE6">
              <w:rPr>
                <w:rFonts w:eastAsia="Calibri" w:cstheme="minorHAnsi"/>
                <w:iCs/>
                <w:sz w:val="20"/>
                <w:szCs w:val="20"/>
              </w:rPr>
              <w:t xml:space="preserve"> Se instalarán un total de </w:t>
            </w:r>
            <w:r w:rsidR="00246C61">
              <w:rPr>
                <w:rFonts w:eastAsia="Calibri" w:cstheme="minorHAnsi"/>
                <w:iCs/>
                <w:sz w:val="20"/>
                <w:szCs w:val="20"/>
              </w:rPr>
              <w:t>8 paneles explicativos</w:t>
            </w:r>
            <w:r w:rsidR="003C1FB4">
              <w:rPr>
                <w:rFonts w:eastAsia="Calibri" w:cstheme="minorHAnsi"/>
                <w:iCs/>
                <w:sz w:val="20"/>
                <w:szCs w:val="20"/>
              </w:rPr>
              <w:t>, localizados estratégicamente</w:t>
            </w:r>
            <w:r w:rsidR="008D45A9">
              <w:rPr>
                <w:rFonts w:eastAsia="Calibri" w:cstheme="minorHAnsi"/>
                <w:iCs/>
                <w:sz w:val="20"/>
                <w:szCs w:val="20"/>
              </w:rPr>
              <w:t xml:space="preserve"> de forma que explique cada una de las acciones B (4 en total, 2 paneles por cada acción B).</w:t>
            </w:r>
            <w:r w:rsidR="004E62AA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D44F62">
              <w:rPr>
                <w:rFonts w:eastAsia="Calibri" w:cstheme="minorHAnsi"/>
                <w:iCs/>
                <w:sz w:val="20"/>
                <w:szCs w:val="20"/>
              </w:rPr>
              <w:t>En todos ellos se explicará el marco del proyecto IVLA</w:t>
            </w:r>
            <w:r w:rsidR="003D0A91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E862E1">
              <w:rPr>
                <w:rFonts w:eastAsia="Calibri" w:cstheme="minorHAnsi"/>
                <w:iCs/>
                <w:sz w:val="20"/>
                <w:szCs w:val="20"/>
              </w:rPr>
              <w:t xml:space="preserve">la financiación, </w:t>
            </w:r>
            <w:r w:rsidR="003D0A91">
              <w:rPr>
                <w:rFonts w:eastAsia="Calibri" w:cstheme="minorHAnsi"/>
                <w:iCs/>
                <w:sz w:val="20"/>
                <w:szCs w:val="20"/>
              </w:rPr>
              <w:t>la actuación concreta a ejecutar, coherencia con la IV municipal, beneficios para la salud de la población, servicios ecosistémicos asociados</w:t>
            </w:r>
            <w:r w:rsidR="00E862E1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3D0A91">
              <w:rPr>
                <w:rFonts w:eastAsia="Calibri" w:cstheme="minorHAnsi"/>
                <w:iCs/>
                <w:sz w:val="20"/>
                <w:szCs w:val="20"/>
              </w:rPr>
              <w:t>vinculación con el cambio climático</w:t>
            </w:r>
            <w:r w:rsidR="00E862E1">
              <w:rPr>
                <w:rFonts w:eastAsia="Calibri" w:cstheme="minorHAnsi"/>
                <w:iCs/>
                <w:sz w:val="20"/>
                <w:szCs w:val="20"/>
              </w:rPr>
              <w:t xml:space="preserve"> y efectos esperados</w:t>
            </w:r>
            <w:r w:rsidR="003D0A91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AB3CB4" w:rsidRPr="00AB3CB4" w:rsidRDefault="00AB3CB4" w:rsidP="00AB3CB4">
            <w:pPr>
              <w:spacing w:after="120" w:line="240" w:lineRule="auto"/>
              <w:ind w:left="720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AB3CB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 esperados:</w:t>
            </w:r>
            <w:r w:rsidR="008564D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AB3CB4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diseño, fabricación e instalación de 8 carteles interpretativos.</w:t>
            </w:r>
          </w:p>
          <w:p w:rsidR="00E30A63" w:rsidRPr="009858DF" w:rsidRDefault="009858DF" w:rsidP="009858DF">
            <w:pPr>
              <w:numPr>
                <w:ilvl w:val="0"/>
                <w:numId w:val="4"/>
              </w:num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  <w:u w:val="single"/>
              </w:rPr>
              <w:t>Formación ciu</w:t>
            </w:r>
            <w:r w:rsidR="00B25A2A">
              <w:rPr>
                <w:rFonts w:eastAsia="Calibri" w:cstheme="minorHAnsi"/>
                <w:iCs/>
                <w:sz w:val="20"/>
                <w:szCs w:val="20"/>
                <w:u w:val="single"/>
              </w:rPr>
              <w:t>d</w:t>
            </w:r>
            <w:r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adana: </w:t>
            </w:r>
            <w:r w:rsidR="00E30A63"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>Jornadas</w:t>
            </w:r>
            <w:r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Técnicas /Mesas redondas</w:t>
            </w:r>
            <w:r w:rsidR="00E30A63" w:rsidRPr="009858DF">
              <w:rPr>
                <w:rFonts w:eastAsia="Calibri" w:cstheme="minorHAnsi"/>
                <w:iCs/>
                <w:sz w:val="20"/>
                <w:szCs w:val="20"/>
              </w:rPr>
              <w:t xml:space="preserve">: Diseño y organización de </w:t>
            </w:r>
            <w:r w:rsidR="004B5DDF" w:rsidRPr="009858DF">
              <w:rPr>
                <w:rFonts w:eastAsia="Calibri" w:cstheme="minorHAnsi"/>
                <w:iCs/>
                <w:sz w:val="20"/>
                <w:szCs w:val="20"/>
              </w:rPr>
              <w:t>tres</w:t>
            </w:r>
            <w:r w:rsidR="00E90361" w:rsidRPr="009858DF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E30A63" w:rsidRPr="009858DF">
              <w:rPr>
                <w:rFonts w:eastAsia="Calibri" w:cstheme="minorHAnsi"/>
                <w:iCs/>
                <w:sz w:val="20"/>
                <w:szCs w:val="20"/>
                <w:u w:val="single"/>
              </w:rPr>
              <w:t>jornadas de formación</w:t>
            </w:r>
            <w:r w:rsidR="00E90361" w:rsidRPr="009858DF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E30A63" w:rsidRPr="009858DF">
              <w:rPr>
                <w:rFonts w:eastAsia="Calibri" w:cstheme="minorHAnsi"/>
                <w:iCs/>
                <w:sz w:val="20"/>
                <w:szCs w:val="20"/>
              </w:rPr>
              <w:t xml:space="preserve"> de </w:t>
            </w:r>
            <w:r w:rsidR="008564D9" w:rsidRPr="009858DF">
              <w:rPr>
                <w:rFonts w:eastAsia="Calibri" w:cstheme="minorHAnsi"/>
                <w:iCs/>
                <w:sz w:val="20"/>
                <w:szCs w:val="20"/>
              </w:rPr>
              <w:t>dos</w:t>
            </w:r>
            <w:r w:rsidR="00E30A63" w:rsidRPr="009858DF">
              <w:rPr>
                <w:rFonts w:eastAsia="Calibri" w:cstheme="minorHAnsi"/>
                <w:iCs/>
                <w:sz w:val="20"/>
                <w:szCs w:val="20"/>
              </w:rPr>
              <w:t xml:space="preserve"> horas cada una, destinadas a </w:t>
            </w:r>
            <w:r w:rsidR="00E90361" w:rsidRPr="009858DF">
              <w:rPr>
                <w:rFonts w:eastAsia="Calibri" w:cstheme="minorHAnsi"/>
                <w:iCs/>
                <w:sz w:val="20"/>
                <w:szCs w:val="20"/>
              </w:rPr>
              <w:t>los miembros de la Comisión Municipal como a los integrantes de la Mesa Verde, y abierta a la ciudadanía</w:t>
            </w:r>
            <w:r w:rsidR="008564D9" w:rsidRPr="009858DF">
              <w:rPr>
                <w:rFonts w:eastAsia="Calibri" w:cstheme="minorHAnsi"/>
                <w:iCs/>
                <w:sz w:val="20"/>
                <w:szCs w:val="20"/>
              </w:rPr>
              <w:t xml:space="preserve"> o</w:t>
            </w:r>
            <w:r w:rsidR="00D07FBF" w:rsidRPr="009858DF">
              <w:rPr>
                <w:rFonts w:eastAsia="Calibri" w:cstheme="minorHAnsi"/>
                <w:iCs/>
                <w:sz w:val="20"/>
                <w:szCs w:val="20"/>
              </w:rPr>
              <w:t xml:space="preserve"> a cualquier entidad o stakeholder</w:t>
            </w:r>
            <w:r w:rsidR="008564D9" w:rsidRPr="009858DF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</w:p>
          <w:p w:rsidR="00E30A63" w:rsidRPr="00E30A63" w:rsidRDefault="00E30A63" w:rsidP="00F600EE">
            <w:pPr>
              <w:numPr>
                <w:ilvl w:val="0"/>
                <w:numId w:val="5"/>
              </w:num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Sesión 1: Gestión </w:t>
            </w:r>
            <w:r w:rsidR="008564D9">
              <w:rPr>
                <w:rFonts w:eastAsia="Calibri" w:cstheme="minorHAnsi"/>
                <w:iCs/>
                <w:sz w:val="20"/>
                <w:szCs w:val="20"/>
              </w:rPr>
              <w:t xml:space="preserve">y restauración ambiental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de la infraestructura verde en ciudades </w:t>
            </w:r>
          </w:p>
          <w:p w:rsidR="00E30A63" w:rsidRPr="00E30A63" w:rsidRDefault="00E30A63" w:rsidP="00F600EE">
            <w:pPr>
              <w:numPr>
                <w:ilvl w:val="0"/>
                <w:numId w:val="5"/>
              </w:num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Sesión </w:t>
            </w:r>
            <w:r w:rsidR="008564D9">
              <w:rPr>
                <w:rFonts w:eastAsia="Calibri" w:cstheme="minorHAnsi"/>
                <w:iCs/>
                <w:sz w:val="20"/>
                <w:szCs w:val="20"/>
              </w:rPr>
              <w:t>2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: </w:t>
            </w:r>
            <w:r w:rsidR="00AB04C7">
              <w:rPr>
                <w:rFonts w:eastAsia="Calibri" w:cstheme="minorHAnsi"/>
                <w:iCs/>
                <w:sz w:val="20"/>
                <w:szCs w:val="20"/>
              </w:rPr>
              <w:t>Riesgos del cambio climático</w:t>
            </w:r>
            <w:r w:rsidR="001049ED">
              <w:rPr>
                <w:rFonts w:eastAsia="Calibri" w:cstheme="minorHAnsi"/>
                <w:iCs/>
                <w:sz w:val="20"/>
                <w:szCs w:val="20"/>
              </w:rPr>
              <w:t xml:space="preserve"> y medidas de adaptación y mitigación</w:t>
            </w:r>
            <w:r w:rsidR="008B36B6">
              <w:rPr>
                <w:rFonts w:eastAsia="Calibri" w:cstheme="minorHAnsi"/>
                <w:iCs/>
                <w:sz w:val="20"/>
                <w:szCs w:val="20"/>
              </w:rPr>
              <w:t xml:space="preserve">. Impacto </w:t>
            </w:r>
            <w:r w:rsidR="00AB04C7">
              <w:rPr>
                <w:rFonts w:eastAsia="Calibri" w:cstheme="minorHAnsi"/>
                <w:iCs/>
                <w:sz w:val="20"/>
                <w:szCs w:val="20"/>
              </w:rPr>
              <w:t xml:space="preserve">y transversalidades de </w:t>
            </w:r>
            <w:r w:rsidR="008B36B6">
              <w:rPr>
                <w:rFonts w:eastAsia="Calibri" w:cstheme="minorHAnsi"/>
                <w:iCs/>
                <w:sz w:val="20"/>
                <w:szCs w:val="20"/>
              </w:rPr>
              <w:t xml:space="preserve">del cambio climático </w:t>
            </w:r>
            <w:r w:rsidR="00AB04C7">
              <w:rPr>
                <w:rFonts w:eastAsia="Calibri" w:cstheme="minorHAnsi"/>
                <w:iCs/>
                <w:sz w:val="20"/>
                <w:szCs w:val="20"/>
              </w:rPr>
              <w:t>en la gestión urbana</w:t>
            </w:r>
          </w:p>
          <w:p w:rsidR="00E30A63" w:rsidRDefault="00E30A63" w:rsidP="00F600EE">
            <w:pPr>
              <w:numPr>
                <w:ilvl w:val="0"/>
                <w:numId w:val="5"/>
              </w:num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Sesión </w:t>
            </w:r>
            <w:r w:rsidR="008564D9">
              <w:rPr>
                <w:rFonts w:eastAsia="Calibri" w:cstheme="minorHAnsi"/>
                <w:iCs/>
                <w:sz w:val="20"/>
                <w:szCs w:val="20"/>
              </w:rPr>
              <w:t>3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: Igualdad de género y planificación </w:t>
            </w:r>
            <w:r w:rsidR="009D04A8">
              <w:rPr>
                <w:rFonts w:eastAsia="Calibri" w:cstheme="minorHAnsi"/>
                <w:iCs/>
                <w:sz w:val="20"/>
                <w:szCs w:val="20"/>
              </w:rPr>
              <w:t xml:space="preserve">urbana y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de la infraestructura verde</w:t>
            </w:r>
            <w:r w:rsidR="008564D9">
              <w:rPr>
                <w:rFonts w:eastAsia="Calibri" w:cstheme="minorHAnsi"/>
                <w:iCs/>
                <w:sz w:val="20"/>
                <w:szCs w:val="20"/>
              </w:rPr>
              <w:t>:</w:t>
            </w:r>
          </w:p>
          <w:p w:rsidR="00CE31DC" w:rsidRPr="00E30A63" w:rsidRDefault="008564D9" w:rsidP="00827184">
            <w:pPr>
              <w:spacing w:after="120" w:line="240" w:lineRule="auto"/>
              <w:ind w:left="742"/>
              <w:rPr>
                <w:rFonts w:eastAsia="Calibri" w:cstheme="minorHAnsi"/>
                <w:iCs/>
                <w:sz w:val="20"/>
                <w:szCs w:val="20"/>
              </w:rPr>
            </w:pPr>
            <w:r w:rsidRPr="008564D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Resultados esperados: </w:t>
            </w:r>
            <w:r w:rsidR="004B5DD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Organización de 3 jornadas</w:t>
            </w:r>
            <w:r w:rsidR="00206F5E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/mesas</w:t>
            </w:r>
            <w:r w:rsidR="004B5DD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formativas abiertas</w:t>
            </w:r>
            <w:r w:rsidR="001F73E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</w:p>
          <w:p w:rsidR="00E30A63" w:rsidRDefault="00E30A63" w:rsidP="001F73E3">
            <w:pPr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>Encuestas a la ciudadanía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: Realización de </w:t>
            </w:r>
            <w:r w:rsidR="00206F5E">
              <w:rPr>
                <w:rFonts w:eastAsia="Calibri" w:cstheme="minorHAnsi"/>
                <w:iCs/>
                <w:sz w:val="20"/>
                <w:szCs w:val="20"/>
              </w:rPr>
              <w:t xml:space="preserve">2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>encuestas</w:t>
            </w:r>
            <w:r w:rsidR="00FD2119">
              <w:rPr>
                <w:rFonts w:eastAsia="Calibri" w:cstheme="minorHAnsi"/>
                <w:iCs/>
                <w:sz w:val="20"/>
                <w:szCs w:val="20"/>
              </w:rPr>
              <w:t xml:space="preserve"> con una muestra</w:t>
            </w:r>
            <w:r w:rsidR="00B25A2A">
              <w:rPr>
                <w:rFonts w:eastAsia="Calibri" w:cstheme="minorHAnsi"/>
                <w:iCs/>
                <w:sz w:val="20"/>
                <w:szCs w:val="20"/>
              </w:rPr>
              <w:t xml:space="preserve"> paritaria</w:t>
            </w:r>
            <w:r w:rsidR="00FD2119">
              <w:rPr>
                <w:rFonts w:eastAsia="Calibri" w:cstheme="minorHAnsi"/>
                <w:iCs/>
                <w:sz w:val="20"/>
                <w:szCs w:val="20"/>
              </w:rPr>
              <w:t xml:space="preserve"> de 300 personas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en diversas ubicaciones del ámbito de actuación, en las que se preguntarán aspectos relativos a la naturalidad del espacio</w:t>
            </w:r>
            <w:r w:rsidR="000B4D7D">
              <w:rPr>
                <w:rFonts w:eastAsia="Calibri" w:cstheme="minorHAnsi"/>
                <w:iCs/>
                <w:sz w:val="20"/>
                <w:szCs w:val="20"/>
              </w:rPr>
              <w:t xml:space="preserve">, percepción de género, calidad, </w:t>
            </w:r>
            <w:proofErr w:type="spellStart"/>
            <w:r w:rsidR="000B4D7D">
              <w:rPr>
                <w:rFonts w:eastAsia="Calibri" w:cstheme="minorHAnsi"/>
                <w:iCs/>
                <w:sz w:val="20"/>
                <w:szCs w:val="20"/>
              </w:rPr>
              <w:t>accesibildiad</w:t>
            </w:r>
            <w:proofErr w:type="spellEnd"/>
            <w:r w:rsidR="000B4D7D">
              <w:rPr>
                <w:rFonts w:eastAsia="Calibri" w:cstheme="minorHAnsi"/>
                <w:iCs/>
                <w:sz w:val="20"/>
                <w:szCs w:val="20"/>
              </w:rPr>
              <w:t>, seguridad,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y al estado de conservación de este. Se prevé la realización de dichas encuestas a comienzos del proyecto </w:t>
            </w:r>
            <w:r w:rsidRPr="00BA10F3">
              <w:rPr>
                <w:rFonts w:eastAsia="Calibri" w:cstheme="minorHAnsi"/>
                <w:iCs/>
                <w:sz w:val="20"/>
                <w:szCs w:val="20"/>
              </w:rPr>
              <w:t>(cuando el servicio externo pueda dar soporte)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y al final del mismo</w:t>
            </w:r>
            <w:r w:rsidR="00FD2119">
              <w:rPr>
                <w:rFonts w:eastAsia="Calibri" w:cstheme="minorHAnsi"/>
                <w:iCs/>
                <w:sz w:val="20"/>
                <w:szCs w:val="20"/>
              </w:rPr>
              <w:t>.</w:t>
            </w:r>
            <w:r w:rsidR="009858DF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Pr="00E30A63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206F5E" w:rsidRPr="00206F5E" w:rsidRDefault="00206F5E" w:rsidP="00206F5E">
            <w:pPr>
              <w:spacing w:after="120" w:line="240" w:lineRule="auto"/>
              <w:ind w:left="720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206F5E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Resultados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esperados</w:t>
            </w:r>
            <w:r w:rsidRPr="00206F5E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 Realización de 2 encuestas</w:t>
            </w:r>
            <w:r w:rsidR="00B25A2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.</w:t>
            </w:r>
          </w:p>
          <w:p w:rsidR="009A6853" w:rsidRDefault="009A6853" w:rsidP="00F600EE">
            <w:pPr>
              <w:numPr>
                <w:ilvl w:val="0"/>
                <w:numId w:val="6"/>
              </w:num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  <w:u w:val="single"/>
              </w:rPr>
              <w:t>Convenio con Universidad de Jaén</w:t>
            </w:r>
            <w:r w:rsidRPr="009A6853">
              <w:rPr>
                <w:rFonts w:eastAsia="Calibri" w:cstheme="minorHAnsi"/>
                <w:iCs/>
                <w:sz w:val="20"/>
                <w:szCs w:val="20"/>
              </w:rPr>
              <w:t>: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se fomentará la realización de Trabajos fin de Grado y la financiación de estudios de </w:t>
            </w:r>
            <w:r>
              <w:rPr>
                <w:rFonts w:eastAsia="Calibri" w:cstheme="minorHAnsi"/>
                <w:iCs/>
                <w:sz w:val="20"/>
                <w:szCs w:val="20"/>
              </w:rPr>
              <w:lastRenderedPageBreak/>
              <w:t>investigación sobre cambio clim</w:t>
            </w:r>
            <w:r w:rsidR="00143CFA">
              <w:rPr>
                <w:rFonts w:eastAsia="Calibri" w:cstheme="minorHAnsi"/>
                <w:iCs/>
                <w:sz w:val="20"/>
                <w:szCs w:val="20"/>
              </w:rPr>
              <w:t>ático y zonas verdes urbanas.</w:t>
            </w:r>
          </w:p>
          <w:p w:rsidR="00206F5E" w:rsidRPr="00206F5E" w:rsidRDefault="00206F5E" w:rsidP="00206F5E">
            <w:pPr>
              <w:spacing w:after="120" w:line="240" w:lineRule="auto"/>
              <w:ind w:left="720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206F5E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Resultado esperado: Confección de Convenio y realización de al menso 2 TFG o Estudios investigación. </w:t>
            </w:r>
          </w:p>
          <w:p w:rsidR="00EA146C" w:rsidRDefault="00E30A63" w:rsidP="00EA146C">
            <w:pPr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30A63">
              <w:rPr>
                <w:rFonts w:eastAsia="Calibri" w:cstheme="minorHAnsi"/>
                <w:iCs/>
                <w:sz w:val="20"/>
                <w:szCs w:val="20"/>
                <w:u w:val="single"/>
              </w:rPr>
              <w:t>Establecimiento de ruta interpretativa</w:t>
            </w:r>
            <w:r w:rsidR="00AC2D9D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a lo largo del Anillo Verde de Andújar</w:t>
            </w:r>
            <w:r w:rsidR="009A6853">
              <w:rPr>
                <w:rFonts w:eastAsia="Calibri" w:cstheme="minorHAnsi"/>
                <w:iCs/>
                <w:sz w:val="20"/>
                <w:szCs w:val="20"/>
                <w:u w:val="single"/>
              </w:rPr>
              <w:t>+Eje fluvial</w:t>
            </w:r>
            <w:r w:rsidRPr="009A6853">
              <w:rPr>
                <w:rFonts w:eastAsia="Calibri" w:cstheme="minorHAnsi"/>
                <w:iCs/>
                <w:sz w:val="20"/>
                <w:szCs w:val="20"/>
              </w:rPr>
              <w:t xml:space="preserve">: </w:t>
            </w:r>
          </w:p>
          <w:p w:rsidR="00547ED4" w:rsidRDefault="00EA146C" w:rsidP="00EA146C">
            <w:pPr>
              <w:spacing w:after="120" w:line="240" w:lineRule="auto"/>
              <w:ind w:left="72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  <w:u w:val="single"/>
              </w:rPr>
              <w:t>C</w:t>
            </w:r>
            <w:r w:rsidR="00126ED5" w:rsidRPr="009A6853">
              <w:rPr>
                <w:rFonts w:eastAsia="Calibri" w:cstheme="minorHAnsi"/>
                <w:iCs/>
                <w:sz w:val="20"/>
                <w:szCs w:val="20"/>
              </w:rPr>
              <w:t xml:space="preserve">rear una imagen y ruta específica vinculada con </w:t>
            </w:r>
            <w:r w:rsidR="0083277D" w:rsidRPr="009A6853">
              <w:rPr>
                <w:rFonts w:eastAsia="Calibri" w:cstheme="minorHAnsi"/>
                <w:iCs/>
                <w:sz w:val="20"/>
                <w:szCs w:val="20"/>
              </w:rPr>
              <w:t xml:space="preserve">este </w:t>
            </w:r>
            <w:r w:rsidR="00126ED5" w:rsidRPr="009A6853">
              <w:rPr>
                <w:rFonts w:eastAsia="Calibri" w:cstheme="minorHAnsi"/>
                <w:iCs/>
                <w:sz w:val="20"/>
                <w:szCs w:val="20"/>
              </w:rPr>
              <w:t>Anillo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y su conexión con los senderos fluviales</w:t>
            </w:r>
            <w:r w:rsidR="0083277D" w:rsidRPr="009A6853">
              <w:rPr>
                <w:rFonts w:eastAsia="Calibri" w:cstheme="minorHAnsi"/>
                <w:iCs/>
                <w:sz w:val="20"/>
                <w:szCs w:val="20"/>
              </w:rPr>
              <w:t>, favoreciendo su uso y puesta en valor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E30A63" w:rsidRPr="009A6853">
              <w:rPr>
                <w:rFonts w:eastAsia="Calibri" w:cstheme="minorHAnsi"/>
                <w:iCs/>
                <w:sz w:val="20"/>
                <w:szCs w:val="20"/>
              </w:rPr>
              <w:t xml:space="preserve">que transcurra a lo largo de las diferentes actuaciones </w:t>
            </w:r>
            <w:r w:rsidR="0083277D" w:rsidRPr="009A6853">
              <w:rPr>
                <w:rFonts w:eastAsia="Calibri" w:cstheme="minorHAnsi"/>
                <w:iCs/>
                <w:sz w:val="20"/>
                <w:szCs w:val="20"/>
              </w:rPr>
              <w:t>(pasadas y</w:t>
            </w:r>
            <w:r w:rsidR="002029B2" w:rsidRPr="009A6853">
              <w:rPr>
                <w:rFonts w:eastAsia="Calibri" w:cstheme="minorHAnsi"/>
                <w:iCs/>
                <w:sz w:val="20"/>
                <w:szCs w:val="20"/>
              </w:rPr>
              <w:t xml:space="preserve"> a ejecutar)</w:t>
            </w:r>
            <w:r w:rsidR="00E30A63" w:rsidRPr="009A6853">
              <w:rPr>
                <w:rFonts w:eastAsia="Calibri" w:cstheme="minorHAnsi"/>
                <w:iCs/>
                <w:sz w:val="20"/>
                <w:szCs w:val="20"/>
              </w:rPr>
              <w:t>, generando la sensación de espacio continuo y conectado.</w:t>
            </w:r>
            <w:r w:rsidR="002029B2" w:rsidRPr="009A6853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EA146C" w:rsidRPr="00EA146C" w:rsidRDefault="00EA146C" w:rsidP="00EA146C">
            <w:pPr>
              <w:spacing w:after="120" w:line="240" w:lineRule="auto"/>
              <w:ind w:left="720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EA146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Resultado esperado: Diseño de una ruta interpretativa perimetral</w:t>
            </w:r>
            <w:r w:rsidR="00B25A2A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,</w:t>
            </w:r>
            <w:r w:rsidRPr="00EA146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y realización de 8 rutas dirigidas 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por personal técnico, y </w:t>
            </w:r>
            <w:r w:rsidRPr="00EA146C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con un mínimo de 150 asistentes.</w:t>
            </w:r>
          </w:p>
          <w:p w:rsidR="003B24B0" w:rsidRDefault="008F0D48" w:rsidP="003B24B0">
            <w:pPr>
              <w:spacing w:after="12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Los re</w:t>
            </w:r>
            <w:r w:rsidR="00136F70">
              <w:rPr>
                <w:rFonts w:eastAsia="Calibri" w:cstheme="minorHAnsi"/>
                <w:iCs/>
                <w:sz w:val="20"/>
                <w:szCs w:val="20"/>
              </w:rPr>
              <w:t xml:space="preserve">sultados esperados para </w:t>
            </w:r>
            <w:r w:rsidR="00DA2216">
              <w:rPr>
                <w:rFonts w:eastAsia="Calibri" w:cstheme="minorHAnsi"/>
                <w:iCs/>
                <w:sz w:val="20"/>
                <w:szCs w:val="20"/>
              </w:rPr>
              <w:t>la comunicación del proyecto IVLA serán</w:t>
            </w:r>
            <w:r w:rsidR="00F136F8">
              <w:rPr>
                <w:rFonts w:eastAsia="Calibri" w:cstheme="minorHAnsi"/>
                <w:iCs/>
                <w:sz w:val="20"/>
                <w:szCs w:val="20"/>
              </w:rPr>
              <w:t>:</w:t>
            </w:r>
          </w:p>
          <w:p w:rsidR="00F136F8" w:rsidRDefault="00F136F8" w:rsidP="00F136F8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eastAsia="Calibri" w:cstheme="minorHAnsi"/>
                <w:iCs/>
                <w:sz w:val="20"/>
                <w:szCs w:val="20"/>
              </w:rPr>
            </w:pPr>
            <w:r w:rsidRPr="00F136F8">
              <w:rPr>
                <w:rFonts w:eastAsia="Calibri" w:cstheme="minorHAnsi"/>
                <w:iCs/>
                <w:sz w:val="20"/>
                <w:szCs w:val="20"/>
              </w:rPr>
              <w:t>Mejora de la sensibilización de la ciudadanía respecto a las acciones de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Pr="00F136F8">
              <w:rPr>
                <w:rFonts w:eastAsia="Calibri" w:cstheme="minorHAnsi"/>
                <w:iCs/>
                <w:sz w:val="20"/>
                <w:szCs w:val="20"/>
              </w:rPr>
              <w:t>renaturalización y recuperación medioambiental</w:t>
            </w:r>
          </w:p>
          <w:p w:rsidR="00F136F8" w:rsidRDefault="00F136F8" w:rsidP="00F136F8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Mejora del conocimiento sobre la infraestructura verde y el cambio climático</w:t>
            </w:r>
          </w:p>
          <w:p w:rsidR="00F4527C" w:rsidRPr="00F136F8" w:rsidRDefault="00F4527C" w:rsidP="00F4527C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eastAsia="Calibri" w:cstheme="minorHAnsi"/>
                <w:iCs/>
                <w:sz w:val="20"/>
                <w:szCs w:val="20"/>
              </w:rPr>
            </w:pPr>
            <w:r w:rsidRPr="00F4527C">
              <w:rPr>
                <w:rFonts w:eastAsia="Calibri" w:cstheme="minorHAnsi"/>
                <w:iCs/>
                <w:sz w:val="20"/>
                <w:szCs w:val="20"/>
              </w:rPr>
              <w:t>Aumento de la presencia en medios de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Pr="00F4527C">
              <w:rPr>
                <w:rFonts w:eastAsia="Calibri" w:cstheme="minorHAnsi"/>
                <w:iCs/>
                <w:sz w:val="20"/>
                <w:szCs w:val="20"/>
              </w:rPr>
              <w:t>comunicación de proyectos destinados a la infraestructura verde y SBN</w:t>
            </w:r>
          </w:p>
        </w:tc>
      </w:tr>
      <w:tr w:rsidR="00547ED4" w:rsidRPr="001618E0" w:rsidTr="00590B49">
        <w:trPr>
          <w:trHeight w:val="343"/>
        </w:trPr>
        <w:tc>
          <w:tcPr>
            <w:tcW w:w="4961" w:type="dxa"/>
            <w:gridSpan w:val="2"/>
            <w:shd w:val="clear" w:color="auto" w:fill="215868" w:themeFill="accent5" w:themeFillShade="80"/>
            <w:vAlign w:val="center"/>
          </w:tcPr>
          <w:p w:rsidR="00547ED4" w:rsidRPr="001618E0" w:rsidRDefault="00547ED4" w:rsidP="00590B49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5E49F2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lastRenderedPageBreak/>
              <w:t>Presupuesto de la acción (€, con dos decimales)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47ED4" w:rsidRPr="001618E0" w:rsidRDefault="003A6CA4" w:rsidP="00590B49">
            <w:pPr>
              <w:keepNext/>
              <w:spacing w:after="0" w:line="240" w:lineRule="auto"/>
              <w:ind w:right="28"/>
              <w:rPr>
                <w:rFonts w:eastAsia="Calibri" w:cs="Times New Roman"/>
                <w:iCs/>
                <w:sz w:val="20"/>
                <w:szCs w:val="20"/>
              </w:rPr>
            </w:pPr>
            <w:r w:rsidRPr="003A6CA4">
              <w:rPr>
                <w:rFonts w:eastAsia="Calibri" w:cs="Times New Roman"/>
                <w:iCs/>
                <w:sz w:val="20"/>
                <w:szCs w:val="20"/>
              </w:rPr>
              <w:t>140.198,50 €</w:t>
            </w:r>
          </w:p>
        </w:tc>
      </w:tr>
      <w:tr w:rsidR="00547ED4" w:rsidRPr="001618E0" w:rsidTr="00590B49">
        <w:trPr>
          <w:trHeight w:val="420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547ED4" w:rsidRPr="001618E0" w:rsidRDefault="00A12FC2" w:rsidP="00590B49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Descripción</w:t>
            </w:r>
            <w:r w:rsidRPr="001618E0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 del presupuesto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No se deberán indicar importes en este apartado. Se deberá i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ndicar 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para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cada partida 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la descripción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de los gastos planteados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que corresponden a los importes reflejados en el Excel de Presupuesto para esta acción. En caso de agrupación, se indicará el detalle para cada una de las entidades que la conforman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. Mayor detalle (documentos completos) puede ser anexado como “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Documentación Adicional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” en el correspondiente campo 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de la herramienta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habilitad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para la presentación de 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solicitudes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)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A12FC2" w:rsidRPr="00DB7D0E" w:rsidTr="009632D5">
        <w:trPr>
          <w:trHeight w:val="63"/>
        </w:trPr>
        <w:tc>
          <w:tcPr>
            <w:tcW w:w="3119" w:type="dxa"/>
            <w:shd w:val="clear" w:color="auto" w:fill="215868" w:themeFill="accent5" w:themeFillShade="80"/>
            <w:vAlign w:val="center"/>
          </w:tcPr>
          <w:p w:rsidR="00A12FC2" w:rsidRPr="00DB7D0E" w:rsidRDefault="00A12FC2" w:rsidP="00590B49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DB7D0E"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Partida presupuestaria</w:t>
            </w:r>
          </w:p>
        </w:tc>
        <w:tc>
          <w:tcPr>
            <w:tcW w:w="7654" w:type="dxa"/>
            <w:gridSpan w:val="2"/>
            <w:shd w:val="clear" w:color="auto" w:fill="215868" w:themeFill="accent5" w:themeFillShade="80"/>
            <w:vAlign w:val="center"/>
          </w:tcPr>
          <w:p w:rsidR="00A12FC2" w:rsidRPr="00DB7D0E" w:rsidRDefault="00A12FC2" w:rsidP="00590B49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Descripción de los gastos contemplados </w:t>
            </w:r>
            <w:r w:rsidRPr="00615EE4">
              <w:rPr>
                <w:rFonts w:eastAsia="Calibri" w:cs="Times New Roman"/>
                <w:i/>
                <w:color w:val="FFFFFF" w:themeColor="background1"/>
                <w:sz w:val="18"/>
                <w:szCs w:val="18"/>
              </w:rPr>
              <w:t>(por ejemplo, perfil del personal y tareas que desempeña, tipología de viajes y desplazamientos previstos, etc.)</w:t>
            </w:r>
          </w:p>
        </w:tc>
      </w:tr>
      <w:tr w:rsidR="00A12FC2" w:rsidRPr="001618E0" w:rsidTr="009632D5">
        <w:trPr>
          <w:trHeight w:val="63"/>
        </w:trPr>
        <w:tc>
          <w:tcPr>
            <w:tcW w:w="3119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A12FC2" w:rsidRPr="00A41343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Personal</w:t>
            </w:r>
            <w:r w:rsidRPr="00A4134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2"/>
            <w:vAlign w:val="center"/>
          </w:tcPr>
          <w:p w:rsidR="005833E1" w:rsidRDefault="00427AB3" w:rsidP="005833E1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Se contará co</w:t>
            </w:r>
            <w:r w:rsidR="005833E1">
              <w:rPr>
                <w:rFonts w:eastAsia="Calibri" w:cs="Times New Roman"/>
                <w:iCs/>
                <w:sz w:val="20"/>
                <w:szCs w:val="20"/>
              </w:rPr>
              <w:t xml:space="preserve">n el personal municipal </w:t>
            </w:r>
            <w:r w:rsidR="00F82880">
              <w:rPr>
                <w:rFonts w:eastAsia="Calibri" w:cs="Times New Roman"/>
                <w:iCs/>
                <w:sz w:val="20"/>
                <w:szCs w:val="20"/>
              </w:rPr>
              <w:t xml:space="preserve"> principalmente Técnica de Medio Ambiente para la coordinación </w:t>
            </w:r>
            <w:r w:rsidR="005833E1">
              <w:rPr>
                <w:rFonts w:eastAsia="Calibri" w:cs="Times New Roman"/>
                <w:iCs/>
                <w:sz w:val="20"/>
                <w:szCs w:val="20"/>
              </w:rPr>
              <w:t xml:space="preserve">de la Comunicación </w:t>
            </w:r>
            <w:r w:rsidR="00F82880">
              <w:rPr>
                <w:rFonts w:eastAsia="Calibri" w:cs="Times New Roman"/>
                <w:iCs/>
                <w:sz w:val="20"/>
                <w:szCs w:val="20"/>
              </w:rPr>
              <w:t xml:space="preserve">a lo largo de todo el proyecto </w:t>
            </w:r>
            <w:r w:rsidR="005833E1">
              <w:rPr>
                <w:rFonts w:eastAsia="Calibri" w:cs="Times New Roman"/>
                <w:iCs/>
                <w:sz w:val="20"/>
                <w:szCs w:val="20"/>
              </w:rPr>
              <w:t>en su despliegue a través de</w:t>
            </w:r>
            <w:r w:rsidR="00F82880">
              <w:rPr>
                <w:rFonts w:eastAsia="Calibri" w:cs="Times New Roman"/>
                <w:iCs/>
                <w:sz w:val="20"/>
                <w:szCs w:val="20"/>
              </w:rPr>
              <w:t xml:space="preserve"> la</w:t>
            </w:r>
            <w:r w:rsidR="005833E1">
              <w:rPr>
                <w:rFonts w:eastAsia="Calibri" w:cs="Times New Roman"/>
                <w:iCs/>
                <w:sz w:val="20"/>
                <w:szCs w:val="20"/>
              </w:rPr>
              <w:t xml:space="preserve"> OMT y la</w:t>
            </w:r>
            <w:r w:rsidR="00F82880">
              <w:rPr>
                <w:rFonts w:eastAsia="Calibri" w:cs="Times New Roman"/>
                <w:iCs/>
                <w:sz w:val="20"/>
                <w:szCs w:val="20"/>
              </w:rPr>
              <w:t xml:space="preserve"> contratación de </w:t>
            </w:r>
            <w:r w:rsidR="00A53E6A">
              <w:rPr>
                <w:rFonts w:eastAsia="Calibri" w:cs="Times New Roman"/>
                <w:iCs/>
                <w:sz w:val="20"/>
                <w:szCs w:val="20"/>
              </w:rPr>
              <w:t xml:space="preserve">la empresa de comunicación. </w:t>
            </w:r>
          </w:p>
          <w:p w:rsidR="00A12FC2" w:rsidRPr="001618E0" w:rsidRDefault="00A53E6A" w:rsidP="005833E1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Se prevé la dedicación </w:t>
            </w:r>
            <w:r w:rsidR="00366B2C">
              <w:rPr>
                <w:rFonts w:eastAsia="Calibri" w:cs="Times New Roman"/>
                <w:iCs/>
                <w:sz w:val="20"/>
                <w:szCs w:val="20"/>
              </w:rPr>
              <w:t xml:space="preserve">al comienzo de Administrativo/a y Técnico/a </w:t>
            </w:r>
            <w:r w:rsidR="005833E1">
              <w:rPr>
                <w:rFonts w:eastAsia="Calibri" w:cs="Times New Roman"/>
                <w:iCs/>
                <w:sz w:val="20"/>
                <w:szCs w:val="20"/>
              </w:rPr>
              <w:t xml:space="preserve">de la OMT </w:t>
            </w:r>
            <w:r w:rsidR="00366B2C">
              <w:rPr>
                <w:rFonts w:eastAsia="Calibri" w:cs="Times New Roman"/>
                <w:iCs/>
                <w:sz w:val="20"/>
                <w:szCs w:val="20"/>
              </w:rPr>
              <w:t xml:space="preserve">para la redacción del pliego </w:t>
            </w:r>
            <w:r w:rsidR="00E60470">
              <w:rPr>
                <w:rFonts w:eastAsia="Calibri" w:cs="Times New Roman"/>
                <w:iCs/>
                <w:sz w:val="20"/>
                <w:szCs w:val="20"/>
              </w:rPr>
              <w:t>y l</w:t>
            </w:r>
            <w:r w:rsidR="00E60470" w:rsidRPr="00E60470">
              <w:rPr>
                <w:rFonts w:eastAsia="Calibri" w:cs="Times New Roman"/>
                <w:iCs/>
                <w:sz w:val="20"/>
                <w:szCs w:val="20"/>
              </w:rPr>
              <w:t>icitación del proceso administrativo para externalizar la comunicación</w:t>
            </w:r>
            <w:r w:rsidR="00563A09">
              <w:rPr>
                <w:rFonts w:eastAsia="Calibri" w:cs="Times New Roman"/>
                <w:iCs/>
                <w:sz w:val="20"/>
                <w:szCs w:val="20"/>
              </w:rPr>
              <w:t xml:space="preserve">, así como el seguimiento administrativo del contrato. </w:t>
            </w:r>
          </w:p>
        </w:tc>
      </w:tr>
      <w:tr w:rsidR="00A12FC2" w:rsidRPr="001618E0" w:rsidTr="009632D5">
        <w:trPr>
          <w:trHeight w:val="63"/>
        </w:trPr>
        <w:tc>
          <w:tcPr>
            <w:tcW w:w="3119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A12FC2" w:rsidRPr="00A41343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Viajes y manutención </w:t>
            </w:r>
          </w:p>
        </w:tc>
        <w:tc>
          <w:tcPr>
            <w:tcW w:w="7654" w:type="dxa"/>
            <w:gridSpan w:val="2"/>
            <w:vAlign w:val="center"/>
          </w:tcPr>
          <w:p w:rsidR="00A12FC2" w:rsidRPr="001618E0" w:rsidRDefault="00A12FC2" w:rsidP="00FD11BC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A12FC2" w:rsidRPr="001618E0" w:rsidTr="009632D5">
        <w:trPr>
          <w:trHeight w:val="63"/>
        </w:trPr>
        <w:tc>
          <w:tcPr>
            <w:tcW w:w="3119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A12FC2" w:rsidRPr="00A41343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Contratación </w:t>
            </w:r>
          </w:p>
        </w:tc>
        <w:tc>
          <w:tcPr>
            <w:tcW w:w="7654" w:type="dxa"/>
            <w:gridSpan w:val="2"/>
            <w:vAlign w:val="center"/>
          </w:tcPr>
          <w:p w:rsidR="00A12FC2" w:rsidRPr="001618E0" w:rsidRDefault="008453F6" w:rsidP="00FD11BC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Externalización de la comunicación del proyecto IVLA. Esta contrata se encargará de</w:t>
            </w:r>
            <w:r w:rsidR="00580E98">
              <w:rPr>
                <w:rFonts w:eastAsia="Calibri" w:cs="Times New Roman"/>
                <w:iCs/>
                <w:sz w:val="20"/>
                <w:szCs w:val="20"/>
              </w:rPr>
              <w:t xml:space="preserve"> la redacción Manual Estilo, de</w:t>
            </w:r>
            <w:r w:rsidR="00DA4311">
              <w:rPr>
                <w:rFonts w:eastAsia="Calibri" w:cs="Times New Roman"/>
                <w:iCs/>
                <w:sz w:val="20"/>
                <w:szCs w:val="20"/>
              </w:rPr>
              <w:t xml:space="preserve">l diseño de la página web e identidad visual, creación y seguimiento de las RRSS, generación de contenido, </w:t>
            </w:r>
            <w:r w:rsidR="00580E98">
              <w:rPr>
                <w:rFonts w:eastAsia="Calibri" w:cs="Times New Roman"/>
                <w:iCs/>
                <w:sz w:val="20"/>
                <w:szCs w:val="20"/>
              </w:rPr>
              <w:t xml:space="preserve">realización de las </w:t>
            </w:r>
            <w:r w:rsidR="000124B1">
              <w:rPr>
                <w:rFonts w:eastAsia="Calibri" w:cs="Times New Roman"/>
                <w:iCs/>
                <w:sz w:val="20"/>
                <w:szCs w:val="20"/>
              </w:rPr>
              <w:t>rutas,</w:t>
            </w:r>
            <w:r w:rsidR="00580E98">
              <w:rPr>
                <w:rFonts w:eastAsia="Calibri" w:cs="Times New Roman"/>
                <w:iCs/>
                <w:sz w:val="20"/>
                <w:szCs w:val="20"/>
              </w:rPr>
              <w:t xml:space="preserve"> organización jornadas y mesas redondas, </w:t>
            </w:r>
            <w:r w:rsidR="00DA4311">
              <w:rPr>
                <w:rFonts w:eastAsia="Calibri" w:cs="Times New Roman"/>
                <w:iCs/>
                <w:sz w:val="20"/>
                <w:szCs w:val="20"/>
              </w:rPr>
              <w:t>realización de encuestas a la ciudadanía</w:t>
            </w:r>
            <w:r w:rsidR="00CC68E4">
              <w:rPr>
                <w:rFonts w:eastAsia="Calibri" w:cs="Times New Roman"/>
                <w:iCs/>
                <w:sz w:val="20"/>
                <w:szCs w:val="20"/>
              </w:rPr>
              <w:t xml:space="preserve"> (vínculo C3) y elaboración de la información de los paneles expositivos.</w:t>
            </w:r>
          </w:p>
        </w:tc>
      </w:tr>
      <w:tr w:rsidR="00A12FC2" w:rsidRPr="001618E0" w:rsidTr="009632D5">
        <w:trPr>
          <w:trHeight w:val="63"/>
        </w:trPr>
        <w:tc>
          <w:tcPr>
            <w:tcW w:w="3119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A12FC2" w:rsidRPr="00A41343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Subcontratación</w:t>
            </w:r>
          </w:p>
        </w:tc>
        <w:tc>
          <w:tcPr>
            <w:tcW w:w="7654" w:type="dxa"/>
            <w:gridSpan w:val="2"/>
            <w:vAlign w:val="center"/>
          </w:tcPr>
          <w:p w:rsidR="00A12FC2" w:rsidRPr="001618E0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A12FC2" w:rsidRPr="001618E0" w:rsidTr="009632D5">
        <w:trPr>
          <w:trHeight w:val="63"/>
        </w:trPr>
        <w:tc>
          <w:tcPr>
            <w:tcW w:w="3119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A12FC2" w:rsidRPr="00A41343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Material inventariable</w:t>
            </w:r>
          </w:p>
        </w:tc>
        <w:tc>
          <w:tcPr>
            <w:tcW w:w="7654" w:type="dxa"/>
            <w:gridSpan w:val="2"/>
            <w:vAlign w:val="center"/>
          </w:tcPr>
          <w:p w:rsidR="00A12FC2" w:rsidRPr="001618E0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A12FC2" w:rsidRPr="001618E0" w:rsidTr="009632D5">
        <w:trPr>
          <w:trHeight w:val="63"/>
        </w:trPr>
        <w:tc>
          <w:tcPr>
            <w:tcW w:w="3119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A12FC2" w:rsidRPr="00A41343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Material fungible</w:t>
            </w:r>
          </w:p>
        </w:tc>
        <w:tc>
          <w:tcPr>
            <w:tcW w:w="7654" w:type="dxa"/>
            <w:gridSpan w:val="2"/>
            <w:vAlign w:val="center"/>
          </w:tcPr>
          <w:p w:rsidR="00A12FC2" w:rsidRPr="001618E0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A12FC2" w:rsidRPr="001618E0" w:rsidTr="009632D5">
        <w:trPr>
          <w:trHeight w:val="63"/>
        </w:trPr>
        <w:tc>
          <w:tcPr>
            <w:tcW w:w="3119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A12FC2" w:rsidRPr="00A41343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sz w:val="20"/>
                <w:szCs w:val="20"/>
              </w:rPr>
              <w:t>Otros (gastos de expropiación e intereses de la garantía bancaria)</w:t>
            </w:r>
          </w:p>
        </w:tc>
        <w:tc>
          <w:tcPr>
            <w:tcW w:w="7654" w:type="dxa"/>
            <w:gridSpan w:val="2"/>
            <w:vAlign w:val="center"/>
          </w:tcPr>
          <w:p w:rsidR="00A12FC2" w:rsidRPr="001618E0" w:rsidRDefault="00A12FC2" w:rsidP="00590B4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547ED4" w:rsidRPr="001618E0" w:rsidTr="00590B49">
        <w:trPr>
          <w:trHeight w:val="343"/>
        </w:trPr>
        <w:tc>
          <w:tcPr>
            <w:tcW w:w="10773" w:type="dxa"/>
            <w:gridSpan w:val="3"/>
            <w:shd w:val="clear" w:color="auto" w:fill="31849B" w:themeFill="accent5" w:themeFillShade="BF"/>
          </w:tcPr>
          <w:p w:rsidR="00547ED4" w:rsidRPr="001618E0" w:rsidRDefault="00547ED4" w:rsidP="00590B49">
            <w:pPr>
              <w:keepNext/>
              <w:spacing w:after="0" w:line="240" w:lineRule="auto"/>
              <w:rPr>
                <w:color w:val="FFFFFF" w:themeColor="background1"/>
                <w:sz w:val="20"/>
                <w:szCs w:val="20"/>
              </w:rPr>
            </w:pPr>
            <w:r w:rsidRPr="00487424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Obstáculos previstos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(Indicar aquellas circunstancias que puedan, previsiblemente, dificultar la consecución de los resultados esperados y sintetizar las medidas de actuación que se plantean para solventarlas)</w:t>
            </w:r>
            <w:r w:rsidR="005A78F8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47ED4" w:rsidRPr="001618E0" w:rsidTr="005A78F8">
        <w:trPr>
          <w:trHeight w:val="350"/>
        </w:trPr>
        <w:tc>
          <w:tcPr>
            <w:tcW w:w="10773" w:type="dxa"/>
            <w:gridSpan w:val="3"/>
            <w:vAlign w:val="center"/>
          </w:tcPr>
          <w:p w:rsidR="00A8600C" w:rsidRPr="00A8600C" w:rsidRDefault="00A8600C" w:rsidP="004545B1">
            <w:pPr>
              <w:numPr>
                <w:ilvl w:val="0"/>
                <w:numId w:val="8"/>
              </w:numPr>
              <w:spacing w:after="120" w:line="240" w:lineRule="auto"/>
              <w:ind w:left="464" w:hanging="357"/>
              <w:rPr>
                <w:rFonts w:eastAsia="Calibri" w:cs="Times New Roman"/>
                <w:iCs/>
                <w:sz w:val="20"/>
                <w:szCs w:val="20"/>
              </w:rPr>
            </w:pPr>
            <w:r w:rsidRPr="00A8600C">
              <w:rPr>
                <w:rFonts w:eastAsia="Calibri" w:cs="Times New Roman"/>
                <w:b/>
                <w:iCs/>
                <w:sz w:val="20"/>
                <w:szCs w:val="20"/>
              </w:rPr>
              <w:t xml:space="preserve">Falta de aceptación </w:t>
            </w:r>
            <w:r w:rsidR="00902E6E">
              <w:rPr>
                <w:rFonts w:eastAsia="Calibri" w:cs="Times New Roman"/>
                <w:b/>
                <w:iCs/>
                <w:sz w:val="20"/>
                <w:szCs w:val="20"/>
              </w:rPr>
              <w:t xml:space="preserve">de las acciones </w:t>
            </w:r>
            <w:r w:rsidRPr="00A8600C">
              <w:rPr>
                <w:rFonts w:eastAsia="Calibri" w:cs="Times New Roman"/>
                <w:b/>
                <w:iCs/>
                <w:sz w:val="20"/>
                <w:szCs w:val="20"/>
              </w:rPr>
              <w:t>por parte de la ciudadanía</w:t>
            </w:r>
            <w:r w:rsidRPr="00A8600C">
              <w:rPr>
                <w:rFonts w:eastAsia="Calibri" w:cs="Times New Roman"/>
                <w:iCs/>
                <w:sz w:val="20"/>
                <w:szCs w:val="20"/>
              </w:rPr>
              <w:t xml:space="preserve">. Se prevé que las campañas </w:t>
            </w:r>
            <w:r w:rsidR="00520A9A">
              <w:rPr>
                <w:rFonts w:eastAsia="Calibri" w:cs="Times New Roman"/>
                <w:iCs/>
                <w:sz w:val="20"/>
                <w:szCs w:val="20"/>
              </w:rPr>
              <w:t>transversales</w:t>
            </w:r>
            <w:r w:rsidR="00902E6E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1756F9">
              <w:rPr>
                <w:rFonts w:eastAsia="Calibri" w:cs="Times New Roman"/>
                <w:iCs/>
                <w:sz w:val="20"/>
                <w:szCs w:val="20"/>
              </w:rPr>
              <w:t xml:space="preserve">de comunicación </w:t>
            </w:r>
            <w:r w:rsidRPr="00A8600C">
              <w:rPr>
                <w:rFonts w:eastAsia="Calibri" w:cs="Times New Roman"/>
                <w:iCs/>
                <w:sz w:val="20"/>
                <w:szCs w:val="20"/>
              </w:rPr>
              <w:t xml:space="preserve">puedan </w:t>
            </w:r>
            <w:r w:rsidR="00902E6E">
              <w:rPr>
                <w:rFonts w:eastAsia="Calibri" w:cs="Times New Roman"/>
                <w:iCs/>
                <w:sz w:val="20"/>
                <w:szCs w:val="20"/>
              </w:rPr>
              <w:t>interpelar</w:t>
            </w:r>
            <w:r w:rsidRPr="00A8600C">
              <w:rPr>
                <w:rFonts w:eastAsia="Calibri" w:cs="Times New Roman"/>
                <w:iCs/>
                <w:sz w:val="20"/>
                <w:szCs w:val="20"/>
              </w:rPr>
              <w:t xml:space="preserve"> a un número significativo de </w:t>
            </w:r>
            <w:r w:rsidR="005F7914">
              <w:rPr>
                <w:rFonts w:eastAsia="Calibri" w:cs="Times New Roman"/>
                <w:iCs/>
                <w:sz w:val="20"/>
                <w:szCs w:val="20"/>
              </w:rPr>
              <w:t xml:space="preserve">la ciudadanía, </w:t>
            </w:r>
            <w:r w:rsidR="00934FB3">
              <w:rPr>
                <w:rFonts w:eastAsia="Calibri" w:cs="Times New Roman"/>
                <w:iCs/>
                <w:sz w:val="20"/>
                <w:szCs w:val="20"/>
              </w:rPr>
              <w:t xml:space="preserve">poniéndose el foco en las mejorar que supone para Andújar y </w:t>
            </w:r>
            <w:r w:rsidR="005F7914">
              <w:rPr>
                <w:rFonts w:eastAsia="Calibri" w:cs="Times New Roman"/>
                <w:iCs/>
                <w:sz w:val="20"/>
                <w:szCs w:val="20"/>
              </w:rPr>
              <w:t xml:space="preserve">reforzándose los mensajes y la actividad comunicativa en las </w:t>
            </w:r>
            <w:r w:rsidRPr="00A8600C">
              <w:rPr>
                <w:rFonts w:eastAsia="Calibri" w:cs="Times New Roman"/>
                <w:iCs/>
                <w:sz w:val="20"/>
                <w:szCs w:val="20"/>
              </w:rPr>
              <w:t>semanas previas a l</w:t>
            </w:r>
            <w:r w:rsidR="00934FB3">
              <w:rPr>
                <w:rFonts w:eastAsia="Calibri" w:cs="Times New Roman"/>
                <w:iCs/>
                <w:sz w:val="20"/>
                <w:szCs w:val="20"/>
              </w:rPr>
              <w:t>as acciones e hitos clave</w:t>
            </w:r>
            <w:r w:rsidRPr="00A8600C">
              <w:rPr>
                <w:rFonts w:eastAsia="Calibri" w:cs="Times New Roman"/>
                <w:iCs/>
                <w:sz w:val="20"/>
                <w:szCs w:val="20"/>
              </w:rPr>
              <w:t>.</w:t>
            </w:r>
          </w:p>
          <w:p w:rsidR="00A8600C" w:rsidRPr="00A8600C" w:rsidRDefault="00A8600C" w:rsidP="004545B1">
            <w:pPr>
              <w:numPr>
                <w:ilvl w:val="0"/>
                <w:numId w:val="8"/>
              </w:numPr>
              <w:spacing w:after="120" w:line="240" w:lineRule="auto"/>
              <w:ind w:left="464" w:hanging="357"/>
              <w:rPr>
                <w:rFonts w:eastAsia="Calibri" w:cs="Times New Roman"/>
                <w:iCs/>
                <w:sz w:val="20"/>
                <w:szCs w:val="20"/>
              </w:rPr>
            </w:pPr>
            <w:r w:rsidRPr="00A8600C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Deterioro o destrucción de carteles provocado por vandalismo</w:t>
            </w:r>
            <w:r w:rsidRPr="00A8600C">
              <w:rPr>
                <w:rFonts w:eastAsia="Calibri" w:cs="Times New Roman"/>
                <w:iCs/>
                <w:sz w:val="20"/>
                <w:szCs w:val="20"/>
              </w:rPr>
              <w:t xml:space="preserve">. Se espera que las labores de vigilancia, sensibilización y comunicación puestas en marcha por el Ayuntamiento de </w:t>
            </w:r>
            <w:r w:rsidR="00D6740A">
              <w:rPr>
                <w:rFonts w:eastAsia="Calibri" w:cs="Times New Roman"/>
                <w:iCs/>
                <w:sz w:val="20"/>
                <w:szCs w:val="20"/>
              </w:rPr>
              <w:t>Andújar</w:t>
            </w:r>
            <w:r w:rsidRPr="00A8600C">
              <w:rPr>
                <w:rFonts w:eastAsia="Calibri" w:cs="Times New Roman"/>
                <w:iCs/>
                <w:sz w:val="20"/>
                <w:szCs w:val="20"/>
              </w:rPr>
              <w:t xml:space="preserve"> ayuden a reducir el riesgo. </w:t>
            </w:r>
          </w:p>
          <w:p w:rsidR="00547ED4" w:rsidRPr="004545B1" w:rsidRDefault="00A8600C" w:rsidP="004545B1">
            <w:pPr>
              <w:pStyle w:val="Prrafodelista"/>
              <w:numPr>
                <w:ilvl w:val="0"/>
                <w:numId w:val="8"/>
              </w:numPr>
              <w:spacing w:after="120" w:line="240" w:lineRule="auto"/>
              <w:ind w:left="464" w:hanging="357"/>
              <w:contextualSpacing w:val="0"/>
              <w:rPr>
                <w:rFonts w:eastAsia="Calibri" w:cs="Times New Roman"/>
                <w:iCs/>
                <w:sz w:val="20"/>
                <w:szCs w:val="20"/>
              </w:rPr>
            </w:pPr>
            <w:r w:rsidRPr="004545B1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Baja participación en las encuestas</w:t>
            </w:r>
            <w:r w:rsidRPr="004545B1">
              <w:rPr>
                <w:rFonts w:eastAsia="Calibri" w:cs="Times New Roman"/>
                <w:iCs/>
                <w:sz w:val="20"/>
                <w:szCs w:val="20"/>
              </w:rPr>
              <w:t>: Se dimensiona un periodo suficiente de realización de las encuestas, previendo que cualquier información que se necesite del ciudadano se aborde a través de la misma encuesta.</w:t>
            </w:r>
          </w:p>
        </w:tc>
      </w:tr>
      <w:bookmarkEnd w:id="2"/>
    </w:tbl>
    <w:p w:rsidR="0002199F" w:rsidRPr="001D04C4" w:rsidRDefault="0002199F" w:rsidP="0002199F">
      <w:pPr>
        <w:rPr>
          <w:sz w:val="8"/>
        </w:rPr>
      </w:pPr>
    </w:p>
    <w:p w:rsidR="0002199F" w:rsidRDefault="0002199F" w:rsidP="0002199F">
      <w:r>
        <w:br w:type="page"/>
      </w:r>
    </w:p>
    <w:p w:rsidR="0002199F" w:rsidRDefault="0002199F" w:rsidP="0002199F">
      <w:pPr>
        <w:spacing w:after="0" w:line="240" w:lineRule="auto"/>
        <w:sectPr w:rsidR="0002199F" w:rsidSect="0002199F">
          <w:headerReference w:type="default" r:id="rId13"/>
          <w:footerReference w:type="default" r:id="rId14"/>
          <w:pgSz w:w="11906" w:h="16838"/>
          <w:pgMar w:top="1417" w:right="566" w:bottom="1135" w:left="567" w:header="708" w:footer="280" w:gutter="0"/>
          <w:cols w:space="708"/>
          <w:docGrid w:linePitch="360"/>
        </w:sectPr>
      </w:pPr>
    </w:p>
    <w:tbl>
      <w:tblPr>
        <w:tblW w:w="10773" w:type="dxa"/>
        <w:tblInd w:w="250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/>
      </w:tblPr>
      <w:tblGrid>
        <w:gridCol w:w="2977"/>
        <w:gridCol w:w="1984"/>
        <w:gridCol w:w="5812"/>
      </w:tblGrid>
      <w:tr w:rsidR="00A41343" w:rsidRPr="00266FF7" w:rsidTr="009D1796">
        <w:trPr>
          <w:trHeight w:val="455"/>
        </w:trPr>
        <w:tc>
          <w:tcPr>
            <w:tcW w:w="10773" w:type="dxa"/>
            <w:gridSpan w:val="3"/>
            <w:shd w:val="clear" w:color="auto" w:fill="215868" w:themeFill="accent5" w:themeFillShade="80"/>
            <w:vAlign w:val="center"/>
          </w:tcPr>
          <w:p w:rsidR="00A41343" w:rsidRPr="00266FF7" w:rsidRDefault="00A41343" w:rsidP="00D829E8">
            <w:pPr>
              <w:spacing w:after="0"/>
              <w:jc w:val="center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A41343">
              <w:rPr>
                <w:rFonts w:eastAsia="Calibri" w:cstheme="minorHAnsi"/>
                <w:b/>
                <w:iCs/>
                <w:color w:val="FFFFFF" w:themeColor="background1"/>
              </w:rPr>
              <w:lastRenderedPageBreak/>
              <w:t xml:space="preserve">Plan de </w:t>
            </w:r>
            <w:r w:rsidR="006D688E">
              <w:rPr>
                <w:rFonts w:eastAsia="Calibri" w:cstheme="minorHAnsi"/>
                <w:b/>
                <w:iCs/>
                <w:color w:val="FFFFFF" w:themeColor="background1"/>
              </w:rPr>
              <w:t>medición</w:t>
            </w:r>
            <w:r>
              <w:rPr>
                <w:rFonts w:eastAsia="Calibri" w:cstheme="minorHAnsi"/>
                <w:b/>
                <w:iCs/>
                <w:color w:val="FFFFFF" w:themeColor="background1"/>
              </w:rPr>
              <w:t xml:space="preserve"> y seguimiento </w:t>
            </w:r>
            <w:r w:rsidRPr="00A41343">
              <w:rPr>
                <w:rFonts w:eastAsia="Calibri" w:cstheme="minorHAnsi"/>
                <w:b/>
                <w:iCs/>
                <w:color w:val="FFFFFF" w:themeColor="background1"/>
              </w:rPr>
              <w:t>(C</w:t>
            </w:r>
            <w:r>
              <w:rPr>
                <w:rFonts w:eastAsia="Calibri" w:cstheme="minorHAnsi"/>
                <w:b/>
                <w:iCs/>
                <w:color w:val="FFFFFF" w:themeColor="background1"/>
              </w:rPr>
              <w:t>3</w:t>
            </w:r>
            <w:r w:rsidRPr="00A41343">
              <w:rPr>
                <w:rFonts w:eastAsia="Calibri" w:cstheme="minorHAnsi"/>
                <w:b/>
                <w:iCs/>
                <w:color w:val="FFFFFF" w:themeColor="background1"/>
              </w:rPr>
              <w:t>)</w:t>
            </w:r>
          </w:p>
        </w:tc>
      </w:tr>
      <w:tr w:rsidR="00D829E8" w:rsidRPr="00266FF7" w:rsidTr="00D829E8">
        <w:trPr>
          <w:trHeight w:val="134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D829E8" w:rsidRPr="00D829E8" w:rsidRDefault="00D829E8" w:rsidP="00590B49">
            <w:pPr>
              <w:spacing w:after="0"/>
              <w:rPr>
                <w:rFonts w:eastAsia="Calibri" w:cstheme="minorHAnsi"/>
                <w:b/>
                <w:iCs/>
                <w:color w:val="FFFFFF" w:themeColor="background1"/>
                <w:sz w:val="10"/>
                <w:szCs w:val="10"/>
              </w:rPr>
            </w:pPr>
          </w:p>
        </w:tc>
      </w:tr>
      <w:tr w:rsidR="00A41343" w:rsidRPr="00266FF7" w:rsidTr="00590B49">
        <w:trPr>
          <w:trHeight w:val="268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A41343" w:rsidRPr="00266FF7" w:rsidRDefault="00A41343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266FF7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Entidad coordinadora de la acción</w:t>
            </w:r>
            <w:r w:rsidR="009D1796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A41343" w:rsidRPr="00266FF7" w:rsidTr="009D1796">
        <w:trPr>
          <w:trHeight w:val="422"/>
        </w:trPr>
        <w:tc>
          <w:tcPr>
            <w:tcW w:w="10773" w:type="dxa"/>
            <w:gridSpan w:val="3"/>
            <w:shd w:val="clear" w:color="auto" w:fill="auto"/>
          </w:tcPr>
          <w:p w:rsidR="00A41343" w:rsidRPr="00266FF7" w:rsidRDefault="002B33BF" w:rsidP="00590B49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Ayuntamiento de Andújar</w:t>
            </w:r>
          </w:p>
        </w:tc>
      </w:tr>
      <w:tr w:rsidR="00A41343" w:rsidRPr="00266FF7" w:rsidTr="009632D5">
        <w:trPr>
          <w:trHeight w:val="334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A41343" w:rsidRPr="00266FF7" w:rsidRDefault="00A41343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 w:rsidRPr="0060779D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Entidades participantes en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(solo para agrupaciones)</w:t>
            </w:r>
            <w:r w:rsidR="009D1796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A41343" w:rsidRPr="00266FF7" w:rsidTr="009D1796">
        <w:trPr>
          <w:trHeight w:val="348"/>
        </w:trPr>
        <w:tc>
          <w:tcPr>
            <w:tcW w:w="10773" w:type="dxa"/>
            <w:gridSpan w:val="3"/>
            <w:shd w:val="clear" w:color="auto" w:fill="auto"/>
          </w:tcPr>
          <w:p w:rsidR="00A41343" w:rsidRPr="00266FF7" w:rsidRDefault="00A41343" w:rsidP="00590B49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</w:p>
        </w:tc>
      </w:tr>
      <w:tr w:rsidR="00A41343" w:rsidRPr="00266FF7" w:rsidTr="00590B49">
        <w:trPr>
          <w:trHeight w:val="336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A41343" w:rsidRPr="00266FF7" w:rsidRDefault="00A41343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A67584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Objetivo</w:t>
            </w:r>
            <w:r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/s</w:t>
            </w:r>
            <w:r w:rsidRPr="00A67584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 xml:space="preserve"> de la acción</w:t>
            </w:r>
            <w:r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 xml:space="preserve"> y síntesis del contexto en el que se desarrollará</w:t>
            </w:r>
            <w:r w:rsidR="009D1796"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A41343" w:rsidRPr="00266FF7" w:rsidTr="009D1796">
        <w:trPr>
          <w:trHeight w:val="358"/>
        </w:trPr>
        <w:tc>
          <w:tcPr>
            <w:tcW w:w="10773" w:type="dxa"/>
            <w:gridSpan w:val="3"/>
            <w:shd w:val="clear" w:color="auto" w:fill="auto"/>
          </w:tcPr>
          <w:p w:rsidR="00262399" w:rsidRDefault="00947AD0" w:rsidP="0081756D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947AD0">
              <w:rPr>
                <w:rFonts w:eastAsia="Calibri" w:cstheme="minorHAnsi"/>
                <w:iCs/>
                <w:sz w:val="20"/>
                <w:szCs w:val="20"/>
              </w:rPr>
              <w:t xml:space="preserve">El </w:t>
            </w:r>
            <w:r w:rsidRPr="00852524">
              <w:rPr>
                <w:rFonts w:eastAsia="Calibri" w:cstheme="minorHAnsi"/>
                <w:b/>
                <w:iCs/>
                <w:sz w:val="20"/>
                <w:szCs w:val="20"/>
              </w:rPr>
              <w:t>Plan de medición y seguimiento de indicadores</w:t>
            </w:r>
            <w:r w:rsidR="00162453">
              <w:rPr>
                <w:rFonts w:eastAsia="Calibri" w:cstheme="minorHAnsi"/>
                <w:iCs/>
                <w:sz w:val="20"/>
                <w:szCs w:val="20"/>
              </w:rPr>
              <w:t xml:space="preserve"> expuesto a continuación servirá para </w:t>
            </w:r>
            <w:r w:rsidRPr="00947AD0">
              <w:rPr>
                <w:rFonts w:eastAsia="Calibri" w:cstheme="minorHAnsi"/>
                <w:iCs/>
                <w:sz w:val="20"/>
                <w:szCs w:val="20"/>
              </w:rPr>
              <w:t>extraer información sobre el grado de avance y ejecución del proyecto y su contribución a los objetivos</w:t>
            </w:r>
            <w:r w:rsidR="00852524">
              <w:rPr>
                <w:rFonts w:eastAsia="Calibri" w:cstheme="minorHAnsi"/>
                <w:iCs/>
                <w:sz w:val="20"/>
                <w:szCs w:val="20"/>
              </w:rPr>
              <w:t xml:space="preserve"> específicos</w:t>
            </w:r>
            <w:r w:rsidR="009465BA">
              <w:rPr>
                <w:rFonts w:eastAsia="Calibri" w:cstheme="minorHAnsi"/>
                <w:iCs/>
                <w:sz w:val="20"/>
                <w:szCs w:val="20"/>
              </w:rPr>
              <w:t xml:space="preserve"> y resultados</w:t>
            </w:r>
            <w:r w:rsidRPr="00947AD0">
              <w:rPr>
                <w:rFonts w:eastAsia="Calibri" w:cstheme="minorHAnsi"/>
                <w:iCs/>
                <w:sz w:val="20"/>
                <w:szCs w:val="20"/>
              </w:rPr>
              <w:t xml:space="preserve"> planteados en el marco lógico, así como para prever las medidas correctivas necesarias en caso de identificarse desviaciones significativas respecto a lo planteado inicialmente en las diversas acciones y actuaciones del proyecto</w:t>
            </w:r>
            <w:r w:rsidR="007A1E79">
              <w:rPr>
                <w:rFonts w:eastAsia="Calibri" w:cstheme="minorHAnsi"/>
                <w:iCs/>
                <w:sz w:val="20"/>
                <w:szCs w:val="20"/>
              </w:rPr>
              <w:t xml:space="preserve"> (gestión adaptativa</w:t>
            </w:r>
            <w:r w:rsidR="00775946">
              <w:rPr>
                <w:rFonts w:eastAsia="Calibri" w:cstheme="minorHAnsi"/>
                <w:iCs/>
                <w:sz w:val="20"/>
                <w:szCs w:val="20"/>
              </w:rPr>
              <w:t xml:space="preserve"> y correctiva</w:t>
            </w:r>
            <w:r w:rsidR="007A1E79">
              <w:rPr>
                <w:rFonts w:eastAsia="Calibri" w:cstheme="minorHAnsi"/>
                <w:iCs/>
                <w:sz w:val="20"/>
                <w:szCs w:val="20"/>
              </w:rPr>
              <w:t>)</w:t>
            </w:r>
            <w:r w:rsidRPr="00947AD0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945104">
              <w:rPr>
                <w:rFonts w:eastAsia="Calibri" w:cstheme="minorHAnsi"/>
                <w:iCs/>
                <w:sz w:val="20"/>
                <w:szCs w:val="20"/>
              </w:rPr>
              <w:t>Para ello, como paso previo</w:t>
            </w:r>
            <w:r w:rsidR="0089315C">
              <w:rPr>
                <w:rFonts w:eastAsia="Calibri" w:cstheme="minorHAnsi"/>
                <w:iCs/>
                <w:sz w:val="20"/>
                <w:szCs w:val="20"/>
              </w:rPr>
              <w:t xml:space="preserve"> fundamental</w:t>
            </w:r>
            <w:r w:rsidR="00945104">
              <w:rPr>
                <w:rFonts w:eastAsia="Calibri" w:cstheme="minorHAnsi"/>
                <w:iCs/>
                <w:sz w:val="20"/>
                <w:szCs w:val="20"/>
              </w:rPr>
              <w:t>, se destinarán esfuerzos y recursos para la validación y establecimiento de la línea base de indicadores</w:t>
            </w:r>
            <w:r w:rsidR="0089315C">
              <w:rPr>
                <w:rFonts w:eastAsia="Calibri" w:cstheme="minorHAnsi"/>
                <w:iCs/>
                <w:sz w:val="20"/>
                <w:szCs w:val="20"/>
              </w:rPr>
              <w:t>, sentando las bases del Plan</w:t>
            </w:r>
            <w:r w:rsidR="00945104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9465BA" w:rsidRDefault="009465BA" w:rsidP="0081756D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Se busca </w:t>
            </w:r>
            <w:r w:rsidR="00CA0BB0">
              <w:rPr>
                <w:rFonts w:eastAsia="Calibri" w:cstheme="minorHAnsi"/>
                <w:iCs/>
                <w:sz w:val="20"/>
                <w:szCs w:val="20"/>
              </w:rPr>
              <w:t xml:space="preserve">establecer </w:t>
            </w:r>
            <w:r w:rsidR="00CA0BB0"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un marco de M&amp;E (Monitorización y Evaluación)</w:t>
            </w:r>
            <w:r w:rsidR="00CA0BB0">
              <w:rPr>
                <w:rFonts w:eastAsia="Calibri" w:cstheme="minorHAnsi"/>
                <w:iCs/>
                <w:sz w:val="20"/>
                <w:szCs w:val="20"/>
              </w:rPr>
              <w:t xml:space="preserve"> sólido</w:t>
            </w:r>
            <w:r w:rsidR="002E1B68">
              <w:rPr>
                <w:rFonts w:eastAsia="Calibri" w:cstheme="minorHAnsi"/>
                <w:iCs/>
                <w:sz w:val="20"/>
                <w:szCs w:val="20"/>
              </w:rPr>
              <w:t xml:space="preserve">, que permita </w:t>
            </w:r>
            <w:r w:rsidR="0081756D">
              <w:rPr>
                <w:rFonts w:eastAsia="Calibri" w:cstheme="minorHAnsi"/>
                <w:iCs/>
                <w:sz w:val="20"/>
                <w:szCs w:val="20"/>
              </w:rPr>
              <w:t xml:space="preserve">hacer el </w:t>
            </w:r>
            <w:r w:rsidR="003F6D46">
              <w:rPr>
                <w:rFonts w:eastAsia="Calibri" w:cstheme="minorHAnsi"/>
                <w:iCs/>
                <w:sz w:val="20"/>
                <w:szCs w:val="20"/>
              </w:rPr>
              <w:t xml:space="preserve">seguimiento de la </w:t>
            </w:r>
            <w:r w:rsidR="00614669">
              <w:rPr>
                <w:rFonts w:eastAsia="Calibri" w:cstheme="minorHAnsi"/>
                <w:iCs/>
                <w:sz w:val="20"/>
                <w:szCs w:val="20"/>
              </w:rPr>
              <w:t xml:space="preserve">ejecución de las actuaciones y </w:t>
            </w:r>
            <w:r w:rsidR="0081756D">
              <w:rPr>
                <w:rFonts w:eastAsia="Calibri" w:cstheme="minorHAnsi"/>
                <w:iCs/>
                <w:sz w:val="20"/>
                <w:szCs w:val="20"/>
              </w:rPr>
              <w:t xml:space="preserve">su </w:t>
            </w:r>
            <w:r w:rsidR="00614669">
              <w:rPr>
                <w:rFonts w:eastAsia="Calibri" w:cstheme="minorHAnsi"/>
                <w:iCs/>
                <w:sz w:val="20"/>
                <w:szCs w:val="20"/>
              </w:rPr>
              <w:t>alineación con el marco lógico</w:t>
            </w:r>
            <w:r w:rsidR="005F7BCE">
              <w:rPr>
                <w:rFonts w:eastAsia="Calibri" w:cstheme="minorHAnsi"/>
                <w:iCs/>
                <w:sz w:val="20"/>
                <w:szCs w:val="20"/>
              </w:rPr>
              <w:t xml:space="preserve">. A su vez, se busca </w:t>
            </w:r>
            <w:r w:rsidR="002E1B68">
              <w:rPr>
                <w:rFonts w:eastAsia="Calibri" w:cstheme="minorHAnsi"/>
                <w:iCs/>
                <w:sz w:val="20"/>
                <w:szCs w:val="20"/>
              </w:rPr>
              <w:t xml:space="preserve">reportar </w:t>
            </w:r>
            <w:r w:rsidR="00EC4B70">
              <w:rPr>
                <w:rFonts w:eastAsia="Calibri" w:cstheme="minorHAnsi"/>
                <w:iCs/>
                <w:sz w:val="20"/>
                <w:szCs w:val="20"/>
              </w:rPr>
              <w:t xml:space="preserve">regularmente </w:t>
            </w:r>
            <w:r w:rsidR="002E1B68">
              <w:rPr>
                <w:rFonts w:eastAsia="Calibri" w:cstheme="minorHAnsi"/>
                <w:iCs/>
                <w:sz w:val="20"/>
                <w:szCs w:val="20"/>
              </w:rPr>
              <w:t xml:space="preserve">la información </w:t>
            </w:r>
            <w:r w:rsidR="003F6D46">
              <w:rPr>
                <w:rFonts w:eastAsia="Calibri" w:cstheme="minorHAnsi"/>
                <w:iCs/>
                <w:sz w:val="20"/>
                <w:szCs w:val="20"/>
              </w:rPr>
              <w:t>requerida</w:t>
            </w:r>
            <w:r w:rsidR="002E1B68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81756D">
              <w:rPr>
                <w:rFonts w:eastAsia="Calibri" w:cstheme="minorHAnsi"/>
                <w:iCs/>
                <w:sz w:val="20"/>
                <w:szCs w:val="20"/>
              </w:rPr>
              <w:t xml:space="preserve">por la </w:t>
            </w:r>
            <w:r w:rsidR="00614669">
              <w:rPr>
                <w:rFonts w:eastAsia="Calibri" w:cstheme="minorHAnsi"/>
                <w:iCs/>
                <w:sz w:val="20"/>
                <w:szCs w:val="20"/>
              </w:rPr>
              <w:t>Fundación Biodiversidad</w:t>
            </w:r>
            <w:r w:rsidR="003F6D46">
              <w:rPr>
                <w:rFonts w:eastAsia="Calibri" w:cstheme="minorHAnsi"/>
                <w:iCs/>
                <w:sz w:val="20"/>
                <w:szCs w:val="20"/>
              </w:rPr>
              <w:t xml:space="preserve">, elaborándose </w:t>
            </w:r>
            <w:r w:rsidR="00FC3393">
              <w:rPr>
                <w:rFonts w:eastAsia="Calibri" w:cstheme="minorHAnsi"/>
                <w:iCs/>
                <w:sz w:val="20"/>
                <w:szCs w:val="20"/>
              </w:rPr>
              <w:t xml:space="preserve">una </w:t>
            </w:r>
            <w:r w:rsidR="00FC3393"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evaluación </w:t>
            </w:r>
            <w:r w:rsidR="00852524"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intermedia y </w:t>
            </w:r>
            <w:r w:rsidR="00FC3393"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final</w:t>
            </w:r>
            <w:r w:rsidR="00FC3393">
              <w:rPr>
                <w:rFonts w:eastAsia="Calibri" w:cstheme="minorHAnsi"/>
                <w:iCs/>
                <w:sz w:val="20"/>
                <w:szCs w:val="20"/>
              </w:rPr>
              <w:t xml:space="preserve"> que sea capaz de medir el impacto del proyecto y su capacidad transformadora a nivel municipal, ecológico y socioeconómico.</w:t>
            </w:r>
            <w:r w:rsidR="00FB2C7B">
              <w:rPr>
                <w:rFonts w:eastAsia="Calibri" w:cstheme="minorHAnsi"/>
                <w:iCs/>
                <w:sz w:val="20"/>
                <w:szCs w:val="20"/>
              </w:rPr>
              <w:t xml:space="preserve"> Los objetivos para este Plan son: </w:t>
            </w:r>
          </w:p>
          <w:p w:rsidR="00FB2C7B" w:rsidRDefault="00F92874" w:rsidP="00852524">
            <w:pPr>
              <w:pStyle w:val="Prrafodelista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Establecer una </w:t>
            </w:r>
            <w:r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línea base de indicadores</w:t>
            </w:r>
            <w:r w:rsidR="000D179F">
              <w:rPr>
                <w:rFonts w:eastAsia="Calibri" w:cstheme="minorHAnsi"/>
                <w:iCs/>
                <w:sz w:val="20"/>
                <w:szCs w:val="20"/>
              </w:rPr>
              <w:t xml:space="preserve"> que permitan efectuar un seguimiento certero del proyecto, apoyándose en la creación de una </w:t>
            </w:r>
            <w:r w:rsidR="000D179F"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base de datos georreferenciados GIS</w:t>
            </w:r>
          </w:p>
          <w:p w:rsidR="00A10972" w:rsidRDefault="00A10972" w:rsidP="00852524">
            <w:pPr>
              <w:pStyle w:val="Prrafodelista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Monitorizar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los indicadores de</w:t>
            </w:r>
            <w:r w:rsidR="004D6810">
              <w:rPr>
                <w:rFonts w:eastAsia="Calibri" w:cstheme="minorHAnsi"/>
                <w:iCs/>
                <w:sz w:val="20"/>
                <w:szCs w:val="20"/>
              </w:rPr>
              <w:t>l IVLA</w:t>
            </w:r>
            <w:r>
              <w:rPr>
                <w:rFonts w:eastAsia="Calibri" w:cstheme="minorHAnsi"/>
                <w:iCs/>
                <w:sz w:val="20"/>
                <w:szCs w:val="20"/>
              </w:rPr>
              <w:t>, de forma que pueda mejorarse l</w:t>
            </w:r>
            <w:r w:rsidR="00D00B63">
              <w:rPr>
                <w:rFonts w:eastAsia="Calibri" w:cstheme="minorHAnsi"/>
                <w:iCs/>
                <w:sz w:val="20"/>
                <w:szCs w:val="20"/>
              </w:rPr>
              <w:t>a ejecución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y toma de decisiones </w:t>
            </w:r>
          </w:p>
          <w:p w:rsidR="00C04930" w:rsidRDefault="00C04930" w:rsidP="00852524">
            <w:pPr>
              <w:pStyle w:val="Prrafodelista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Medir el éxito</w:t>
            </w:r>
            <w:r w:rsidR="004D6810">
              <w:rPr>
                <w:rFonts w:eastAsia="Calibri" w:cstheme="minorHAnsi"/>
                <w:iCs/>
                <w:sz w:val="20"/>
                <w:szCs w:val="20"/>
              </w:rPr>
              <w:t xml:space="preserve">, impactos 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y capacidad transformadora del proyecto mediante </w:t>
            </w:r>
            <w:r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evaluaciones periódicas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y </w:t>
            </w:r>
            <w:r w:rsidR="00073E53">
              <w:rPr>
                <w:rFonts w:eastAsia="Calibri" w:cstheme="minorHAnsi"/>
                <w:iCs/>
                <w:sz w:val="20"/>
                <w:szCs w:val="20"/>
              </w:rPr>
              <w:t>una reflexión/evaluación final</w:t>
            </w:r>
            <w:r w:rsidR="00C56D5A">
              <w:rPr>
                <w:rFonts w:eastAsia="Calibri" w:cstheme="minorHAnsi"/>
                <w:iCs/>
                <w:sz w:val="20"/>
                <w:szCs w:val="20"/>
              </w:rPr>
              <w:t xml:space="preserve"> (incluida dentro del informe técnico final).</w:t>
            </w:r>
          </w:p>
          <w:p w:rsidR="00A41343" w:rsidRPr="00AF7F44" w:rsidRDefault="00073E53" w:rsidP="00852524">
            <w:pPr>
              <w:pStyle w:val="Prrafodelista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Conformar un sistema de indicadores y </w:t>
            </w:r>
            <w:r w:rsidR="007834DD">
              <w:rPr>
                <w:rFonts w:eastAsia="Calibri" w:cstheme="minorHAnsi"/>
                <w:iCs/>
                <w:sz w:val="20"/>
                <w:szCs w:val="20"/>
              </w:rPr>
              <w:t>una cultura de M&amp;E capaz de integrarse en el Ayuntamiento de Andújar</w:t>
            </w:r>
            <w:r w:rsidR="00F54CAD">
              <w:rPr>
                <w:rFonts w:eastAsia="Calibri" w:cstheme="minorHAnsi"/>
                <w:iCs/>
                <w:sz w:val="20"/>
                <w:szCs w:val="20"/>
              </w:rPr>
              <w:t xml:space="preserve">, que </w:t>
            </w:r>
            <w:r w:rsidR="00852524">
              <w:rPr>
                <w:rFonts w:eastAsia="Calibri" w:cstheme="minorHAnsi"/>
                <w:iCs/>
                <w:sz w:val="20"/>
                <w:szCs w:val="20"/>
              </w:rPr>
              <w:t xml:space="preserve">tenga </w:t>
            </w:r>
            <w:r w:rsidR="00852524"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p</w:t>
            </w:r>
            <w:r w:rsid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e</w:t>
            </w:r>
            <w:r w:rsidR="00852524" w:rsidRPr="00852524">
              <w:rPr>
                <w:rFonts w:eastAsia="Calibri" w:cstheme="minorHAnsi"/>
                <w:iCs/>
                <w:sz w:val="20"/>
                <w:szCs w:val="20"/>
                <w:u w:val="single"/>
              </w:rPr>
              <w:t>rdurabilidad</w:t>
            </w:r>
            <w:r w:rsidR="00852524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7834DD">
              <w:rPr>
                <w:rFonts w:eastAsia="Calibri" w:cstheme="minorHAnsi"/>
                <w:iCs/>
                <w:sz w:val="20"/>
                <w:szCs w:val="20"/>
              </w:rPr>
              <w:t>más allá del periodo de ejecución del proyecto IVLA</w:t>
            </w:r>
            <w:r w:rsidR="00F54CAD">
              <w:rPr>
                <w:rFonts w:eastAsia="Calibri" w:cstheme="minorHAnsi"/>
                <w:iCs/>
                <w:sz w:val="20"/>
                <w:szCs w:val="20"/>
              </w:rPr>
              <w:t xml:space="preserve"> y que se alinee</w:t>
            </w:r>
            <w:r w:rsidR="00027C2C">
              <w:rPr>
                <w:rFonts w:eastAsia="Calibri" w:cstheme="minorHAnsi"/>
                <w:iCs/>
                <w:sz w:val="20"/>
                <w:szCs w:val="20"/>
              </w:rPr>
              <w:t xml:space="preserve"> con otros </w:t>
            </w:r>
            <w:r w:rsidR="00A468B9">
              <w:rPr>
                <w:rFonts w:eastAsia="Calibri" w:cstheme="minorHAnsi"/>
                <w:iCs/>
                <w:sz w:val="20"/>
                <w:szCs w:val="20"/>
              </w:rPr>
              <w:t>marcos de seguimiento y evaluación en los que está inmerso el Ayuntamiento (</w:t>
            </w:r>
            <w:r w:rsidR="00852524">
              <w:rPr>
                <w:rFonts w:eastAsia="Calibri" w:cstheme="minorHAnsi"/>
                <w:iCs/>
                <w:sz w:val="20"/>
                <w:szCs w:val="20"/>
              </w:rPr>
              <w:t xml:space="preserve">Plan Estratégico Infraestructura Verde Andújar, </w:t>
            </w:r>
            <w:r w:rsidR="00A826FA">
              <w:rPr>
                <w:rFonts w:eastAsia="Calibri" w:cstheme="minorHAnsi"/>
                <w:iCs/>
                <w:sz w:val="20"/>
                <w:szCs w:val="20"/>
              </w:rPr>
              <w:t>PACES, Agenda Urbana de Andújar, etc.).</w:t>
            </w:r>
          </w:p>
        </w:tc>
      </w:tr>
      <w:tr w:rsidR="00A41343" w:rsidRPr="00266FF7" w:rsidTr="00590B49">
        <w:trPr>
          <w:trHeight w:val="499"/>
        </w:trPr>
        <w:tc>
          <w:tcPr>
            <w:tcW w:w="10773" w:type="dxa"/>
            <w:gridSpan w:val="3"/>
            <w:shd w:val="clear" w:color="auto" w:fill="31849B" w:themeFill="accent5" w:themeFillShade="BF"/>
          </w:tcPr>
          <w:p w:rsidR="00A41343" w:rsidRPr="00266FF7" w:rsidRDefault="00A41343" w:rsidP="00590B49">
            <w:pPr>
              <w:spacing w:after="0" w:line="240" w:lineRule="auto"/>
              <w:ind w:left="28" w:right="28"/>
              <w:jc w:val="both"/>
              <w:rPr>
                <w:rFonts w:eastAsia="Calibri" w:cstheme="minorHAnsi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Descripción de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portar la información necesaria para explicar su alcance, detallando las fases/tareas que engloba, demostrando su contribución a los objetivos</w:t>
            </w:r>
            <w:r w:rsidR="00FF73A9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y</w:t>
            </w:r>
            <w:r w:rsidR="009D1796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haciendo mención específica a los resultados esperados</w:t>
            </w:r>
            <w:r w:rsidR="00471599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.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Cuando la acción se ejecute en agrupación, especificar cómo se plantea el reparto de trabajo por entidad)</w:t>
            </w:r>
            <w:r w:rsidR="009D1796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A41343" w:rsidRPr="00266FF7" w:rsidTr="009D1796">
        <w:trPr>
          <w:trHeight w:val="430"/>
        </w:trPr>
        <w:tc>
          <w:tcPr>
            <w:tcW w:w="10773" w:type="dxa"/>
            <w:gridSpan w:val="3"/>
            <w:shd w:val="clear" w:color="auto" w:fill="auto"/>
          </w:tcPr>
          <w:p w:rsidR="00A868B9" w:rsidRDefault="007D659B" w:rsidP="00584D46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S</w:t>
            </w:r>
            <w:r w:rsidR="00D639E0">
              <w:rPr>
                <w:rFonts w:eastAsia="Calibri" w:cstheme="minorHAnsi"/>
                <w:iCs/>
                <w:sz w:val="20"/>
                <w:szCs w:val="20"/>
              </w:rPr>
              <w:t>e llevará a cabo una medición</w:t>
            </w:r>
            <w:r w:rsidR="00A868B9" w:rsidRPr="00A868B9">
              <w:rPr>
                <w:rFonts w:eastAsia="Calibri" w:cstheme="minorHAnsi"/>
                <w:iCs/>
                <w:sz w:val="20"/>
                <w:szCs w:val="20"/>
              </w:rPr>
              <w:t xml:space="preserve"> periódica </w:t>
            </w:r>
            <w:r w:rsidR="00A440EB">
              <w:rPr>
                <w:rFonts w:eastAsia="Calibri" w:cstheme="minorHAnsi"/>
                <w:iCs/>
                <w:sz w:val="20"/>
                <w:szCs w:val="20"/>
              </w:rPr>
              <w:t xml:space="preserve">de </w:t>
            </w:r>
            <w:r w:rsidR="00A440EB" w:rsidRPr="00A868B9">
              <w:rPr>
                <w:rFonts w:eastAsia="Calibri" w:cstheme="minorHAnsi"/>
                <w:iCs/>
                <w:sz w:val="20"/>
                <w:szCs w:val="20"/>
              </w:rPr>
              <w:t>los indicadores recogidos en</w:t>
            </w:r>
            <w:r w:rsidR="00A440EB">
              <w:rPr>
                <w:rFonts w:eastAsia="Calibri" w:cstheme="minorHAnsi"/>
                <w:iCs/>
                <w:sz w:val="20"/>
                <w:szCs w:val="20"/>
              </w:rPr>
              <w:t xml:space="preserve"> el Anexo 2 a través </w:t>
            </w:r>
            <w:r w:rsidR="00A868B9" w:rsidRPr="00A868B9">
              <w:rPr>
                <w:rFonts w:eastAsia="Calibri" w:cstheme="minorHAnsi"/>
                <w:iCs/>
                <w:sz w:val="20"/>
                <w:szCs w:val="20"/>
              </w:rPr>
              <w:t>de la</w:t>
            </w:r>
            <w:r w:rsidR="00A440EB">
              <w:rPr>
                <w:rFonts w:eastAsia="Calibri" w:cstheme="minorHAnsi"/>
                <w:iCs/>
                <w:sz w:val="20"/>
                <w:szCs w:val="20"/>
              </w:rPr>
              <w:t xml:space="preserve"> información obtenida y suministrada por el panel de las</w:t>
            </w:r>
            <w:r w:rsidR="00A868B9" w:rsidRPr="00A868B9">
              <w:rPr>
                <w:rFonts w:eastAsia="Calibri" w:cstheme="minorHAnsi"/>
                <w:iCs/>
                <w:sz w:val="20"/>
                <w:szCs w:val="20"/>
              </w:rPr>
              <w:t xml:space="preserve"> diferentes fuentes de verificación</w:t>
            </w:r>
            <w:r w:rsidR="00023BB1">
              <w:rPr>
                <w:rFonts w:eastAsia="Calibri" w:cstheme="minorHAnsi"/>
                <w:iCs/>
                <w:sz w:val="20"/>
                <w:szCs w:val="20"/>
              </w:rPr>
              <w:t xml:space="preserve"> (</w:t>
            </w:r>
            <w:r w:rsidR="00205F77" w:rsidRPr="00205F7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monitorización y </w:t>
            </w:r>
            <w:r w:rsidR="00023BB1" w:rsidRPr="00205F77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seguimiento</w:t>
            </w:r>
            <w:r w:rsidR="00023BB1">
              <w:rPr>
                <w:rFonts w:eastAsia="Calibri" w:cstheme="minorHAnsi"/>
                <w:iCs/>
                <w:sz w:val="20"/>
                <w:szCs w:val="20"/>
              </w:rPr>
              <w:t>)</w:t>
            </w:r>
            <w:r w:rsidR="00A440EB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AD5CB1" w:rsidRPr="00A440EB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cada </w:t>
            </w:r>
            <w:r w:rsidR="009E414F" w:rsidRPr="00A440EB">
              <w:rPr>
                <w:rFonts w:eastAsia="Calibri" w:cstheme="minorHAnsi"/>
                <w:iCs/>
                <w:sz w:val="20"/>
                <w:szCs w:val="20"/>
                <w:u w:val="single"/>
              </w:rPr>
              <w:t>3 meses</w:t>
            </w:r>
            <w:r w:rsidR="008E098C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E7394F">
              <w:rPr>
                <w:rFonts w:eastAsia="Calibri" w:cstheme="minorHAnsi"/>
                <w:iCs/>
                <w:sz w:val="20"/>
                <w:szCs w:val="20"/>
              </w:rPr>
              <w:t>En cuanto a evaluaciones, se prevé</w:t>
            </w:r>
            <w:r w:rsidR="00E516DD">
              <w:rPr>
                <w:rFonts w:eastAsia="Calibri" w:cstheme="minorHAnsi"/>
                <w:iCs/>
                <w:sz w:val="20"/>
                <w:szCs w:val="20"/>
              </w:rPr>
              <w:t>n dos, una</w:t>
            </w:r>
            <w:r w:rsidR="00A440EB">
              <w:rPr>
                <w:rFonts w:eastAsia="Calibri" w:cstheme="minorHAnsi"/>
                <w:iCs/>
                <w:sz w:val="20"/>
                <w:szCs w:val="20"/>
              </w:rPr>
              <w:t xml:space="preserve"> intermedia y una</w:t>
            </w:r>
            <w:r w:rsidR="00370232">
              <w:rPr>
                <w:rFonts w:eastAsia="Calibri" w:cstheme="minorHAnsi"/>
                <w:iCs/>
                <w:sz w:val="20"/>
                <w:szCs w:val="20"/>
              </w:rPr>
              <w:t xml:space="preserve"> final</w:t>
            </w:r>
            <w:r w:rsidR="00E7394F">
              <w:rPr>
                <w:rFonts w:eastAsia="Calibri" w:cstheme="minorHAnsi"/>
                <w:iCs/>
                <w:sz w:val="20"/>
                <w:szCs w:val="20"/>
              </w:rPr>
              <w:t xml:space="preserve">, la cual acompañará el informe técnico final de reporte a la Fundación Biodiversidad. </w:t>
            </w:r>
            <w:r w:rsidR="00DA1B04">
              <w:rPr>
                <w:rFonts w:eastAsia="Calibri" w:cstheme="minorHAnsi"/>
                <w:iCs/>
                <w:sz w:val="20"/>
                <w:szCs w:val="20"/>
              </w:rPr>
              <w:t xml:space="preserve">Desglosamos </w:t>
            </w:r>
            <w:r w:rsidR="00A43C09">
              <w:rPr>
                <w:rFonts w:eastAsia="Calibri" w:cstheme="minorHAnsi"/>
                <w:iCs/>
                <w:sz w:val="20"/>
                <w:szCs w:val="20"/>
              </w:rPr>
              <w:t>las actuaciones del Plan en base a los distintos tipos de acción (A, Bs y Cs):</w:t>
            </w:r>
          </w:p>
          <w:p w:rsidR="00B63E2B" w:rsidRDefault="00283AA2" w:rsidP="001B19C2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1B021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</w:t>
            </w:r>
            <w:r w:rsidR="00E516DD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uación</w:t>
            </w:r>
            <w:r w:rsidRPr="001B021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2A2DDF" w:rsidRPr="001B021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1</w:t>
            </w:r>
            <w:r w:rsidRPr="001B021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)</w:t>
            </w:r>
            <w:r w:rsidR="001B0210" w:rsidRPr="001B021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Establecimiento de la línea base de indicadores</w:t>
            </w:r>
            <w:r w:rsidR="006A025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-base de datos geo</w:t>
            </w:r>
            <w:r w:rsidR="0026085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</w:t>
            </w:r>
            <w:r w:rsidR="006A025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referenciados</w:t>
            </w:r>
            <w:r w:rsidR="00B050AF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:</w:t>
            </w:r>
            <w:r w:rsidR="00C140FC" w:rsidRPr="001B0210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B63E2B">
              <w:rPr>
                <w:rFonts w:eastAsia="Calibri" w:cstheme="minorHAnsi"/>
                <w:iCs/>
                <w:sz w:val="20"/>
                <w:szCs w:val="20"/>
              </w:rPr>
              <w:t>A partir del tercer mes</w:t>
            </w:r>
            <w:r w:rsidR="00C140FC" w:rsidRPr="001B0210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B63E2B">
              <w:rPr>
                <w:rFonts w:eastAsia="Calibri" w:cstheme="minorHAnsi"/>
                <w:iCs/>
                <w:sz w:val="20"/>
                <w:szCs w:val="20"/>
              </w:rPr>
              <w:t xml:space="preserve">de inicio del proyecto, </w:t>
            </w:r>
            <w:r w:rsidR="00775ABD">
              <w:rPr>
                <w:rFonts w:eastAsia="Calibri" w:cstheme="minorHAnsi"/>
                <w:iCs/>
                <w:sz w:val="20"/>
                <w:szCs w:val="20"/>
              </w:rPr>
              <w:t>se</w:t>
            </w:r>
            <w:r w:rsidR="00C140FC" w:rsidRPr="001B0210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260859">
              <w:rPr>
                <w:rFonts w:eastAsia="Calibri" w:cstheme="minorHAnsi"/>
                <w:iCs/>
                <w:sz w:val="20"/>
                <w:szCs w:val="20"/>
              </w:rPr>
              <w:t xml:space="preserve">comenzará a </w:t>
            </w:r>
            <w:r w:rsidR="00C140FC" w:rsidRPr="001B0210">
              <w:rPr>
                <w:rFonts w:eastAsia="Calibri" w:cstheme="minorHAnsi"/>
                <w:iCs/>
                <w:sz w:val="20"/>
                <w:szCs w:val="20"/>
              </w:rPr>
              <w:t>revisa</w:t>
            </w:r>
            <w:r w:rsidR="00775ABD">
              <w:rPr>
                <w:rFonts w:eastAsia="Calibri" w:cstheme="minorHAnsi"/>
                <w:iCs/>
                <w:sz w:val="20"/>
                <w:szCs w:val="20"/>
              </w:rPr>
              <w:t>r y validar internamente los indicadores, estableciéndose las líneas base</w:t>
            </w:r>
            <w:r w:rsidR="007344C3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B63E2B">
              <w:rPr>
                <w:rFonts w:eastAsia="Calibri" w:cstheme="minorHAnsi"/>
                <w:iCs/>
                <w:sz w:val="20"/>
                <w:szCs w:val="20"/>
              </w:rPr>
              <w:t xml:space="preserve">Estos valores iniciales se marcarán principalmente durante la ejecución de los inventarios de </w:t>
            </w:r>
            <w:r w:rsidR="00B63E2B" w:rsidRPr="00660A29">
              <w:rPr>
                <w:rFonts w:eastAsia="Calibri" w:cstheme="minorHAnsi"/>
                <w:iCs/>
                <w:sz w:val="20"/>
                <w:szCs w:val="20"/>
              </w:rPr>
              <w:t>vegetación</w:t>
            </w:r>
            <w:r w:rsidR="00B63E2B">
              <w:rPr>
                <w:rFonts w:eastAsia="Calibri" w:cstheme="minorHAnsi"/>
                <w:iCs/>
                <w:sz w:val="20"/>
                <w:szCs w:val="20"/>
              </w:rPr>
              <w:t>, fauna</w:t>
            </w:r>
            <w:r w:rsidR="00260859">
              <w:rPr>
                <w:rFonts w:eastAsia="Calibri" w:cstheme="minorHAnsi"/>
                <w:iCs/>
                <w:sz w:val="20"/>
                <w:szCs w:val="20"/>
              </w:rPr>
              <w:t xml:space="preserve">, áreas verdes, </w:t>
            </w:r>
            <w:r w:rsidR="00B63E2B">
              <w:rPr>
                <w:rFonts w:eastAsia="Calibri" w:cstheme="minorHAnsi"/>
                <w:iCs/>
                <w:sz w:val="20"/>
                <w:szCs w:val="20"/>
              </w:rPr>
              <w:t>y especies exóticas invasoras que surt</w:t>
            </w:r>
            <w:r w:rsidR="00260859">
              <w:rPr>
                <w:rFonts w:eastAsia="Calibri" w:cstheme="minorHAnsi"/>
                <w:iCs/>
                <w:sz w:val="20"/>
                <w:szCs w:val="20"/>
              </w:rPr>
              <w:t xml:space="preserve">en </w:t>
            </w:r>
            <w:r w:rsidR="00B63E2B">
              <w:rPr>
                <w:rFonts w:eastAsia="Calibri" w:cstheme="minorHAnsi"/>
                <w:iCs/>
                <w:sz w:val="20"/>
                <w:szCs w:val="20"/>
              </w:rPr>
              <w:t xml:space="preserve">del Plan Estratégico infraestructura Verde Andújar Acción A1. </w:t>
            </w:r>
            <w:r w:rsidR="00260859">
              <w:rPr>
                <w:rFonts w:eastAsia="Calibri" w:cstheme="minorHAnsi"/>
                <w:iCs/>
                <w:sz w:val="20"/>
                <w:szCs w:val="20"/>
              </w:rPr>
              <w:t xml:space="preserve">Es decir la Acción A1 y la acción C3 se solapan de forma sinérgica para </w:t>
            </w:r>
            <w:r w:rsidR="00B47DE9">
              <w:rPr>
                <w:rFonts w:eastAsia="Calibri" w:cstheme="minorHAnsi"/>
                <w:iCs/>
                <w:sz w:val="20"/>
                <w:szCs w:val="20"/>
              </w:rPr>
              <w:t>así evitar duplicidad de tareas, y conseguir una batería de indicadores uniforme,  homogénea, sólida y que suministre información solvente.</w:t>
            </w:r>
          </w:p>
          <w:p w:rsidR="00283AA2" w:rsidRDefault="00260859" w:rsidP="001B19C2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El ritmo y coordinación de los trabajos</w:t>
            </w:r>
            <w:r w:rsidR="007344C3">
              <w:rPr>
                <w:rFonts w:eastAsia="Calibri" w:cstheme="minorHAnsi"/>
                <w:iCs/>
                <w:sz w:val="20"/>
                <w:szCs w:val="20"/>
              </w:rPr>
              <w:t xml:space="preserve"> se </w:t>
            </w:r>
            <w:r w:rsidR="00775ABD">
              <w:rPr>
                <w:rFonts w:eastAsia="Calibri" w:cstheme="minorHAnsi"/>
                <w:iCs/>
                <w:sz w:val="20"/>
                <w:szCs w:val="20"/>
              </w:rPr>
              <w:t xml:space="preserve">marcarán </w:t>
            </w:r>
            <w:r w:rsidR="003D76BE">
              <w:rPr>
                <w:rFonts w:eastAsia="Calibri" w:cstheme="minorHAnsi"/>
                <w:iCs/>
                <w:sz w:val="20"/>
                <w:szCs w:val="20"/>
              </w:rPr>
              <w:t xml:space="preserve">principalmente </w:t>
            </w:r>
            <w:r w:rsidR="007344C3">
              <w:rPr>
                <w:rFonts w:eastAsia="Calibri" w:cstheme="minorHAnsi"/>
                <w:iCs/>
                <w:sz w:val="20"/>
                <w:szCs w:val="20"/>
              </w:rPr>
              <w:t>a través de</w:t>
            </w:r>
            <w:r w:rsidR="003D76BE">
              <w:rPr>
                <w:rFonts w:eastAsia="Calibri" w:cstheme="minorHAnsi"/>
                <w:iCs/>
                <w:sz w:val="20"/>
                <w:szCs w:val="20"/>
              </w:rPr>
              <w:t xml:space="preserve"> trabajo de gabinete</w:t>
            </w:r>
            <w:r w:rsidR="00B63E2B">
              <w:rPr>
                <w:rFonts w:eastAsia="Calibri" w:cstheme="minorHAnsi"/>
                <w:iCs/>
                <w:sz w:val="20"/>
                <w:szCs w:val="20"/>
              </w:rPr>
              <w:t xml:space="preserve"> de la OMT y de la información que surta del Plan Estratégico infraestructura Verde Andújar</w:t>
            </w:r>
            <w:r w:rsidR="005E702F">
              <w:rPr>
                <w:rFonts w:eastAsia="Calibri" w:cstheme="minorHAnsi"/>
                <w:iCs/>
                <w:sz w:val="20"/>
                <w:szCs w:val="20"/>
              </w:rPr>
              <w:t xml:space="preserve">, que es la “base </w:t>
            </w:r>
            <w:r w:rsidR="00B47DE9">
              <w:rPr>
                <w:rFonts w:eastAsia="Calibri" w:cstheme="minorHAnsi"/>
                <w:iCs/>
                <w:sz w:val="20"/>
                <w:szCs w:val="20"/>
              </w:rPr>
              <w:t>cartográ</w:t>
            </w:r>
            <w:r w:rsidR="005E702F">
              <w:rPr>
                <w:rFonts w:eastAsia="Calibri" w:cstheme="minorHAnsi"/>
                <w:iCs/>
                <w:sz w:val="20"/>
                <w:szCs w:val="20"/>
              </w:rPr>
              <w:t xml:space="preserve">fica” que sirve para </w:t>
            </w:r>
            <w:r w:rsidR="00C66320">
              <w:rPr>
                <w:rFonts w:eastAsia="Calibri" w:cstheme="minorHAnsi"/>
                <w:iCs/>
                <w:sz w:val="20"/>
                <w:szCs w:val="20"/>
              </w:rPr>
              <w:t xml:space="preserve">preparar la </w:t>
            </w:r>
            <w:r w:rsidR="005E702F">
              <w:rPr>
                <w:rFonts w:eastAsia="Calibri" w:cstheme="minorHAnsi"/>
                <w:iCs/>
                <w:sz w:val="20"/>
                <w:szCs w:val="20"/>
              </w:rPr>
              <w:t>“</w:t>
            </w:r>
            <w:r w:rsidR="00C66320">
              <w:rPr>
                <w:rFonts w:eastAsia="Calibri" w:cstheme="minorHAnsi"/>
                <w:iCs/>
                <w:sz w:val="20"/>
                <w:szCs w:val="20"/>
              </w:rPr>
              <w:t>base de datos georreferenciados</w:t>
            </w:r>
            <w:r w:rsidR="005E702F">
              <w:rPr>
                <w:rFonts w:eastAsia="Calibri" w:cstheme="minorHAnsi"/>
                <w:iCs/>
                <w:sz w:val="20"/>
                <w:szCs w:val="20"/>
              </w:rPr>
              <w:t>”</w:t>
            </w:r>
            <w:r w:rsidR="00C66320">
              <w:rPr>
                <w:rFonts w:eastAsia="Calibri" w:cstheme="minorHAnsi"/>
                <w:iCs/>
                <w:sz w:val="20"/>
                <w:szCs w:val="20"/>
              </w:rPr>
              <w:t xml:space="preserve"> GIS. Esta actuación finalizará</w:t>
            </w:r>
            <w:r w:rsidR="008666A3">
              <w:rPr>
                <w:rFonts w:eastAsia="Calibri" w:cstheme="minorHAnsi"/>
                <w:iCs/>
                <w:sz w:val="20"/>
                <w:szCs w:val="20"/>
              </w:rPr>
              <w:t xml:space="preserve"> cuando </w:t>
            </w:r>
            <w:r w:rsidR="005E702F">
              <w:rPr>
                <w:rFonts w:eastAsia="Calibri" w:cstheme="minorHAnsi"/>
                <w:iCs/>
                <w:sz w:val="20"/>
                <w:szCs w:val="20"/>
              </w:rPr>
              <w:t xml:space="preserve">todos </w:t>
            </w:r>
            <w:r w:rsidR="008666A3">
              <w:rPr>
                <w:rFonts w:eastAsia="Calibri" w:cstheme="minorHAnsi"/>
                <w:iCs/>
                <w:sz w:val="20"/>
                <w:szCs w:val="20"/>
              </w:rPr>
              <w:t xml:space="preserve">los indicadores </w:t>
            </w:r>
            <w:r w:rsidR="005E702F">
              <w:rPr>
                <w:rFonts w:eastAsia="Calibri" w:cstheme="minorHAnsi"/>
                <w:iCs/>
                <w:sz w:val="20"/>
                <w:szCs w:val="20"/>
              </w:rPr>
              <w:t>del proyecto</w:t>
            </w:r>
            <w:r w:rsidR="008666A3">
              <w:rPr>
                <w:rFonts w:eastAsia="Calibri" w:cstheme="minorHAnsi"/>
                <w:iCs/>
                <w:sz w:val="20"/>
                <w:szCs w:val="20"/>
              </w:rPr>
              <w:t xml:space="preserve"> estén </w:t>
            </w:r>
            <w:r w:rsidR="00260766" w:rsidRPr="005E702F">
              <w:rPr>
                <w:rFonts w:eastAsia="Calibri" w:cstheme="minorHAnsi"/>
                <w:bCs/>
                <w:iCs/>
                <w:sz w:val="20"/>
                <w:szCs w:val="20"/>
              </w:rPr>
              <w:t>georreferenciad</w:t>
            </w:r>
            <w:r w:rsidR="008666A3" w:rsidRPr="005E702F">
              <w:rPr>
                <w:rFonts w:eastAsia="Calibri" w:cstheme="minorHAnsi"/>
                <w:bCs/>
                <w:iCs/>
                <w:sz w:val="20"/>
                <w:szCs w:val="20"/>
              </w:rPr>
              <w:t>os</w:t>
            </w:r>
            <w:r w:rsidR="008666A3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260766">
              <w:rPr>
                <w:rFonts w:eastAsia="Calibri" w:cstheme="minorHAnsi"/>
                <w:iCs/>
                <w:sz w:val="20"/>
                <w:szCs w:val="20"/>
              </w:rPr>
              <w:t xml:space="preserve">y </w:t>
            </w:r>
            <w:r w:rsidR="008666A3">
              <w:rPr>
                <w:rFonts w:eastAsia="Calibri" w:cstheme="minorHAnsi"/>
                <w:iCs/>
                <w:sz w:val="20"/>
                <w:szCs w:val="20"/>
              </w:rPr>
              <w:t xml:space="preserve">una vez </w:t>
            </w:r>
            <w:r w:rsidR="008666A3" w:rsidRPr="005E702F">
              <w:rPr>
                <w:rFonts w:eastAsia="Calibri" w:cstheme="minorHAnsi"/>
                <w:iCs/>
                <w:sz w:val="20"/>
                <w:szCs w:val="20"/>
              </w:rPr>
              <w:t xml:space="preserve">se </w:t>
            </w:r>
            <w:r w:rsidR="008666A3" w:rsidRPr="005E702F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validen </w:t>
            </w:r>
            <w:r w:rsidR="00D04A8D" w:rsidRPr="005E702F">
              <w:rPr>
                <w:rFonts w:eastAsia="Calibri" w:cstheme="minorHAnsi"/>
                <w:bCs/>
                <w:iCs/>
                <w:sz w:val="20"/>
                <w:szCs w:val="20"/>
              </w:rPr>
              <w:t>los valores iniciales de todos los indicadores</w:t>
            </w:r>
            <w:r w:rsidR="005E702F" w:rsidRPr="005E702F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at través</w:t>
            </w:r>
            <w:r w:rsidR="005E702F">
              <w:rPr>
                <w:rFonts w:eastAsia="Calibri" w:cstheme="minorHAnsi"/>
                <w:iCs/>
                <w:sz w:val="20"/>
                <w:szCs w:val="20"/>
              </w:rPr>
              <w:t xml:space="preserve"> de empresa certificadora</w:t>
            </w:r>
          </w:p>
          <w:p w:rsidR="00A868B9" w:rsidRDefault="00A868B9" w:rsidP="00133FCB">
            <w:pPr>
              <w:spacing w:after="120" w:line="240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</w:rPr>
            </w:pPr>
            <w:r w:rsidRPr="00BC35B1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Act</w:t>
            </w:r>
            <w:r w:rsidR="0026085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uación</w:t>
            </w:r>
            <w:r w:rsidR="00097BAA" w:rsidRPr="00BC35B1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2</w:t>
            </w:r>
            <w:r w:rsidRPr="00BC35B1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) </w:t>
            </w:r>
            <w:r w:rsidR="00B4676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Mediciones, </w:t>
            </w:r>
            <w:r w:rsidR="008B350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Monitorización, </w:t>
            </w:r>
            <w:r w:rsidR="00B46763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procesamiento </w:t>
            </w:r>
            <w:r w:rsidR="008B3509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y certificaciones </w:t>
            </w:r>
            <w:r w:rsidRPr="00BC35B1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(</w:t>
            </w:r>
            <w:r w:rsidR="00B41E7E" w:rsidRPr="00BC35B1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A1, </w:t>
            </w:r>
            <w:r w:rsidRPr="00BC35B1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>B1, B2, B3 y B4)</w:t>
            </w:r>
            <w:r w:rsidR="00C9322B">
              <w:rPr>
                <w:rFonts w:eastAsia="Calibr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94188B" w:rsidRDefault="0094188B" w:rsidP="00133FCB">
            <w:pPr>
              <w:spacing w:after="120" w:line="240" w:lineRule="auto"/>
              <w:jc w:val="both"/>
              <w:rPr>
                <w:rFonts w:eastAsia="Calibri" w:cstheme="minorHAnsi"/>
                <w:bCs/>
                <w:iCs/>
                <w:sz w:val="20"/>
                <w:szCs w:val="20"/>
              </w:rPr>
            </w:pPr>
            <w:r w:rsidRPr="00BC35B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Esta actuación se encarga de la medición continua de los indicadores de las acciones tipo A y B. </w:t>
            </w:r>
            <w:r w:rsidR="00BC35B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Se implementará una lógica de </w:t>
            </w:r>
            <w:r w:rsidR="005D0C9A" w:rsidRPr="00DB6131">
              <w:rPr>
                <w:rFonts w:eastAsia="Calibri" w:cstheme="minorHAnsi"/>
                <w:b/>
                <w:iCs/>
                <w:sz w:val="20"/>
                <w:szCs w:val="20"/>
              </w:rPr>
              <w:t>levantamiento</w:t>
            </w:r>
            <w:r w:rsidR="006B29FF">
              <w:rPr>
                <w:rFonts w:eastAsia="Calibri" w:cstheme="minorHAnsi"/>
                <w:b/>
                <w:iCs/>
                <w:sz w:val="20"/>
                <w:szCs w:val="20"/>
              </w:rPr>
              <w:t xml:space="preserve"> y mediciones periódicas </w:t>
            </w:r>
            <w:r w:rsidR="005D0C9A">
              <w:rPr>
                <w:rFonts w:eastAsia="Calibri" w:cstheme="minorHAnsi"/>
                <w:bCs/>
                <w:iCs/>
                <w:sz w:val="20"/>
                <w:szCs w:val="20"/>
              </w:rPr>
              <w:t>de</w:t>
            </w:r>
            <w:r w:rsidR="005F4DFB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valores, datos, medidas, calibres, superficies</w:t>
            </w:r>
            <w:r w:rsidR="00CB0437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, etc. </w:t>
            </w:r>
            <w:r w:rsidR="005F4DFB">
              <w:rPr>
                <w:rFonts w:eastAsia="Calibri" w:cstheme="minorHAnsi"/>
                <w:bCs/>
                <w:iCs/>
                <w:sz w:val="20"/>
                <w:szCs w:val="20"/>
              </w:rPr>
              <w:t>que identifiquen cada uno de los</w:t>
            </w:r>
            <w:r w:rsidR="005D0C9A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indicadores </w:t>
            </w:r>
            <w:r w:rsidR="000577BB">
              <w:rPr>
                <w:rFonts w:eastAsia="Calibri" w:cstheme="minorHAnsi"/>
                <w:bCs/>
                <w:iCs/>
                <w:sz w:val="20"/>
                <w:szCs w:val="20"/>
              </w:rPr>
              <w:t>sobre el terreno</w:t>
            </w:r>
            <w:r w:rsidR="005F4DFB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de cada una de las acciones A, B y</w:t>
            </w:r>
            <w:r w:rsidR="008B3509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C</w:t>
            </w:r>
            <w:r w:rsidR="005F4DFB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. Esa obtención de información se realizará por las </w:t>
            </w:r>
            <w:r w:rsidR="00A53D86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Direcciones </w:t>
            </w:r>
            <w:r w:rsidR="00A53D86">
              <w:rPr>
                <w:rFonts w:eastAsia="Calibri" w:cstheme="minorHAnsi"/>
                <w:bCs/>
                <w:iCs/>
                <w:sz w:val="20"/>
                <w:szCs w:val="20"/>
              </w:rPr>
              <w:lastRenderedPageBreak/>
              <w:t>de obra</w:t>
            </w:r>
            <w:r w:rsidR="00133FCB">
              <w:rPr>
                <w:rFonts w:eastAsia="Calibri" w:cstheme="minorHAnsi"/>
                <w:bCs/>
                <w:iCs/>
                <w:sz w:val="20"/>
                <w:szCs w:val="20"/>
              </w:rPr>
              <w:t>, Contrataciones y subcontrataciones</w:t>
            </w:r>
            <w:r w:rsidR="005F4DFB">
              <w:rPr>
                <w:rFonts w:eastAsia="Calibri" w:cstheme="minorHAnsi"/>
                <w:bCs/>
                <w:iCs/>
                <w:sz w:val="20"/>
                <w:szCs w:val="20"/>
              </w:rPr>
              <w:t>, obligación que se recogerá como ineludible en los pliegos de  condiciones de las licitaciones.</w:t>
            </w:r>
            <w:r w:rsidR="008657D7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</w:t>
            </w:r>
            <w:r w:rsidR="00DB613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</w:t>
            </w:r>
            <w:r w:rsidR="00885D14">
              <w:rPr>
                <w:rFonts w:eastAsia="Calibri" w:cstheme="minorHAnsi"/>
                <w:bCs/>
                <w:iCs/>
                <w:sz w:val="20"/>
                <w:szCs w:val="20"/>
              </w:rPr>
              <w:t>En una segunda fase s</w:t>
            </w:r>
            <w:r w:rsidR="005F4DFB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e acompañará de la </w:t>
            </w:r>
            <w:r w:rsidR="00DB6131" w:rsidRPr="00DB6131">
              <w:rPr>
                <w:rFonts w:eastAsia="Calibri" w:cstheme="minorHAnsi"/>
                <w:b/>
                <w:iCs/>
                <w:sz w:val="20"/>
                <w:szCs w:val="20"/>
              </w:rPr>
              <w:t>recopilación y unificación</w:t>
            </w:r>
            <w:r w:rsidR="00DB613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por parte de la OTM y </w:t>
            </w:r>
            <w:r w:rsidR="009E46D3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finalmente </w:t>
            </w:r>
            <w:r w:rsidR="00DB6131" w:rsidRPr="00DB6131">
              <w:rPr>
                <w:rFonts w:eastAsia="Calibri" w:cstheme="minorHAnsi"/>
                <w:b/>
                <w:iCs/>
                <w:sz w:val="20"/>
                <w:szCs w:val="20"/>
              </w:rPr>
              <w:t>procesamiento</w:t>
            </w:r>
            <w:r w:rsidR="00DB613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de </w:t>
            </w:r>
            <w:r w:rsidR="00B35FAC">
              <w:rPr>
                <w:rFonts w:eastAsia="Calibri" w:cstheme="minorHAnsi"/>
                <w:bCs/>
                <w:iCs/>
                <w:sz w:val="20"/>
                <w:szCs w:val="20"/>
              </w:rPr>
              <w:t>indicadores</w:t>
            </w:r>
            <w:r w:rsidR="00DB613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por parte de </w:t>
            </w:r>
            <w:r w:rsidR="00B35FAC">
              <w:rPr>
                <w:rFonts w:eastAsia="Calibri" w:cstheme="minorHAnsi"/>
                <w:bCs/>
                <w:iCs/>
                <w:sz w:val="20"/>
                <w:szCs w:val="20"/>
              </w:rPr>
              <w:t>una</w:t>
            </w:r>
            <w:r w:rsidR="00DB613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empresa </w:t>
            </w:r>
            <w:r w:rsidR="00B35FAC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certificadora </w:t>
            </w:r>
            <w:r w:rsidR="00DB6131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subcontratada para tal fin. </w:t>
            </w:r>
            <w:r w:rsidR="009E46D3">
              <w:rPr>
                <w:rFonts w:eastAsia="Calibri" w:cstheme="minorHAnsi"/>
                <w:bCs/>
                <w:iCs/>
                <w:sz w:val="20"/>
                <w:szCs w:val="20"/>
              </w:rPr>
              <w:t>En defin</w:t>
            </w:r>
            <w:r w:rsidR="00175ABD">
              <w:rPr>
                <w:rFonts w:eastAsia="Calibri" w:cstheme="minorHAnsi"/>
                <w:bCs/>
                <w:iCs/>
                <w:sz w:val="20"/>
                <w:szCs w:val="20"/>
              </w:rPr>
              <w:t>i</w:t>
            </w:r>
            <w:r w:rsidR="008657D7">
              <w:rPr>
                <w:rFonts w:eastAsia="Calibri" w:cstheme="minorHAnsi"/>
                <w:bCs/>
                <w:iCs/>
                <w:sz w:val="20"/>
                <w:szCs w:val="20"/>
              </w:rPr>
              <w:t>tiva:</w:t>
            </w:r>
          </w:p>
          <w:p w:rsidR="009E46D3" w:rsidRDefault="009E46D3" w:rsidP="005C6A4C">
            <w:pPr>
              <w:spacing w:after="120" w:line="240" w:lineRule="auto"/>
              <w:ind w:left="742"/>
              <w:jc w:val="both"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1º) Levantamiento Información</w:t>
            </w:r>
            <w:r w:rsidR="006570B7">
              <w:rPr>
                <w:rFonts w:eastAsia="Calibri" w:cstheme="minorHAnsi"/>
                <w:bCs/>
                <w:iCs/>
                <w:sz w:val="20"/>
                <w:szCs w:val="20"/>
              </w:rPr>
              <w:t>: mediciones periódicas: Dirección Obra y empresas de servicios/obras/Suministros (contratas y subcontratas)</w:t>
            </w:r>
          </w:p>
          <w:p w:rsidR="009E46D3" w:rsidRDefault="009E46D3" w:rsidP="005C6A4C">
            <w:pPr>
              <w:spacing w:after="120" w:line="240" w:lineRule="auto"/>
              <w:ind w:left="742"/>
              <w:jc w:val="both"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2º) Recopilación y </w:t>
            </w:r>
            <w:r w:rsidR="00E0512F">
              <w:rPr>
                <w:rFonts w:eastAsia="Calibri" w:cstheme="minorHAnsi"/>
                <w:bCs/>
                <w:iCs/>
                <w:sz w:val="20"/>
                <w:szCs w:val="20"/>
              </w:rPr>
              <w:t>consolidación</w:t>
            </w:r>
            <w:r w:rsidR="006570B7">
              <w:rPr>
                <w:rFonts w:eastAsia="Calibri" w:cstheme="minorHAnsi"/>
                <w:bCs/>
                <w:iCs/>
                <w:sz w:val="20"/>
                <w:szCs w:val="20"/>
              </w:rPr>
              <w:t>: monitorización: OTM-&gt; técnico calidad e indicadores</w:t>
            </w:r>
          </w:p>
          <w:p w:rsidR="009E46D3" w:rsidRPr="00BC35B1" w:rsidRDefault="009E46D3" w:rsidP="005C6A4C">
            <w:pPr>
              <w:spacing w:after="120" w:line="240" w:lineRule="auto"/>
              <w:ind w:left="742"/>
              <w:jc w:val="both"/>
              <w:rPr>
                <w:rFonts w:eastAsia="Calibri" w:cstheme="minorHAnsi"/>
                <w:bCs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Cs/>
                <w:sz w:val="20"/>
                <w:szCs w:val="20"/>
              </w:rPr>
              <w:t>3º) procesamiento y tratamiento</w:t>
            </w:r>
            <w:r w:rsidR="00293E46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</w:t>
            </w:r>
            <w:r w:rsidR="006570B7">
              <w:rPr>
                <w:rFonts w:eastAsia="Calibri" w:cstheme="minorHAnsi"/>
                <w:bCs/>
                <w:iCs/>
                <w:sz w:val="20"/>
                <w:szCs w:val="20"/>
              </w:rPr>
              <w:t>final de indicadores: Consultora</w:t>
            </w:r>
            <w:r w:rsidR="00D26B14">
              <w:rPr>
                <w:rFonts w:eastAsia="Calibri" w:cstheme="minorHAnsi"/>
                <w:bCs/>
                <w:iCs/>
                <w:sz w:val="20"/>
                <w:szCs w:val="20"/>
              </w:rPr>
              <w:t>/Certificadora</w:t>
            </w:r>
            <w:r w:rsidR="006570B7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S</w:t>
            </w:r>
            <w:r w:rsidR="00D26B14">
              <w:rPr>
                <w:rFonts w:eastAsia="Calibri" w:cstheme="minorHAnsi"/>
                <w:bCs/>
                <w:iCs/>
                <w:sz w:val="20"/>
                <w:szCs w:val="20"/>
              </w:rPr>
              <w:t>istema Mediciones e</w:t>
            </w:r>
            <w:r w:rsidR="006570B7">
              <w:rPr>
                <w:rFonts w:eastAsia="Calibri" w:cstheme="minorHAnsi"/>
                <w:bCs/>
                <w:iCs/>
                <w:sz w:val="20"/>
                <w:szCs w:val="20"/>
              </w:rPr>
              <w:t xml:space="preserve"> Indicadores.</w:t>
            </w:r>
          </w:p>
          <w:p w:rsidR="00A868B9" w:rsidRPr="0079463E" w:rsidRDefault="003839F8" w:rsidP="00F5040D">
            <w:pPr>
              <w:numPr>
                <w:ilvl w:val="0"/>
                <w:numId w:val="12"/>
              </w:numPr>
              <w:spacing w:after="60" w:line="240" w:lineRule="auto"/>
              <w:rPr>
                <w:rFonts w:eastAsia="Calibri" w:cstheme="minorHAnsi"/>
                <w:iCs/>
                <w:sz w:val="20"/>
                <w:szCs w:val="20"/>
                <w:u w:val="single"/>
              </w:rPr>
            </w:pPr>
            <w:r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Mediciones</w:t>
            </w:r>
            <w:r w:rsidR="00A868B9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periódicas: </w:t>
            </w:r>
            <w:r w:rsidR="00C1510C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certificaciones </w:t>
            </w:r>
            <w:r w:rsidR="00A868B9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trimestrales </w:t>
            </w:r>
            <w:r w:rsidR="009F0965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para la monitorización </w:t>
            </w:r>
            <w:r w:rsidR="00A868B9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(</w:t>
            </w:r>
            <w:r w:rsidR="00EC3D84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A1, </w:t>
            </w:r>
            <w:r w:rsidR="00A868B9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B1, B2, B3, B4):</w:t>
            </w:r>
          </w:p>
          <w:p w:rsidR="00E20897" w:rsidRDefault="006C20EA" w:rsidP="00F5040D">
            <w:pPr>
              <w:spacing w:after="60" w:line="240" w:lineRule="auto"/>
              <w:ind w:left="748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79463E">
              <w:rPr>
                <w:rFonts w:eastAsia="Calibri" w:cstheme="minorHAnsi"/>
                <w:iCs/>
                <w:sz w:val="20"/>
                <w:szCs w:val="20"/>
              </w:rPr>
              <w:t>Para comprobar de qué manera la ejecución de acciones y actuaciones tipo B</w:t>
            </w:r>
            <w:r w:rsidR="00EC3D84" w:rsidRPr="0079463E">
              <w:rPr>
                <w:rFonts w:eastAsia="Calibri" w:cstheme="minorHAnsi"/>
                <w:iCs/>
                <w:sz w:val="20"/>
                <w:szCs w:val="20"/>
              </w:rPr>
              <w:t xml:space="preserve"> y A</w:t>
            </w:r>
            <w:r w:rsidRPr="0079463E">
              <w:rPr>
                <w:rFonts w:eastAsia="Calibri" w:cstheme="minorHAnsi"/>
                <w:iCs/>
                <w:sz w:val="20"/>
                <w:szCs w:val="20"/>
              </w:rPr>
              <w:t xml:space="preserve"> contribuyen al cumplimiento de </w:t>
            </w:r>
            <w:r w:rsidR="00160C47" w:rsidRPr="0079463E">
              <w:rPr>
                <w:rFonts w:eastAsia="Calibri" w:cstheme="minorHAnsi"/>
                <w:iCs/>
                <w:sz w:val="20"/>
                <w:szCs w:val="20"/>
              </w:rPr>
              <w:t>objetivos y resultados del proyecto, se exigirá a las Direcciones de Obra</w:t>
            </w:r>
            <w:r w:rsidR="00293E46">
              <w:rPr>
                <w:rFonts w:eastAsia="Calibri" w:cstheme="minorHAnsi"/>
                <w:iCs/>
                <w:sz w:val="20"/>
                <w:szCs w:val="20"/>
              </w:rPr>
              <w:t xml:space="preserve"> y r</w:t>
            </w:r>
            <w:r w:rsidR="00070783" w:rsidRPr="0079463E">
              <w:rPr>
                <w:rFonts w:eastAsia="Calibri" w:cstheme="minorHAnsi"/>
                <w:iCs/>
                <w:sz w:val="20"/>
                <w:szCs w:val="20"/>
              </w:rPr>
              <w:t>esponsables de</w:t>
            </w:r>
            <w:r w:rsidR="00293E46">
              <w:rPr>
                <w:rFonts w:eastAsia="Calibri" w:cstheme="minorHAnsi"/>
                <w:iCs/>
                <w:sz w:val="20"/>
                <w:szCs w:val="20"/>
              </w:rPr>
              <w:t xml:space="preserve">  los servicios/obras/suministros contratados y subcontratados</w:t>
            </w:r>
            <w:r w:rsidR="0029551E">
              <w:rPr>
                <w:rFonts w:eastAsia="Calibri" w:cstheme="minorHAnsi"/>
                <w:iCs/>
                <w:sz w:val="20"/>
                <w:szCs w:val="20"/>
              </w:rPr>
              <w:t xml:space="preserve">: </w:t>
            </w:r>
            <w:r w:rsidR="00C1510C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informe</w:t>
            </w:r>
            <w:r w:rsidR="00AC5243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s</w:t>
            </w:r>
            <w:r w:rsidR="00C1510C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certificado</w:t>
            </w:r>
            <w:r w:rsidR="00AC5243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s</w:t>
            </w:r>
            <w:r w:rsidR="00C1510C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293E46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trimestrales </w:t>
            </w:r>
            <w:r w:rsidR="00AC5243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que </w:t>
            </w:r>
            <w:r w:rsidR="00C1510C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acredite</w:t>
            </w:r>
            <w:r w:rsidR="00AC5243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n</w:t>
            </w:r>
            <w:r w:rsidR="00C1510C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las Unidades de Obra</w:t>
            </w:r>
            <w:r w:rsidR="00293E46">
              <w:rPr>
                <w:rFonts w:eastAsia="Calibri" w:cstheme="minorHAnsi"/>
                <w:iCs/>
                <w:sz w:val="20"/>
                <w:szCs w:val="20"/>
                <w:u w:val="single"/>
              </w:rPr>
              <w:t>/Servicio/Suministro</w:t>
            </w:r>
            <w:r w:rsidR="00C1510C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Ejecutada</w:t>
            </w:r>
            <w:r w:rsidR="00EA38A1" w:rsidRPr="0079463E">
              <w:rPr>
                <w:rFonts w:eastAsia="Calibri" w:cstheme="minorHAnsi"/>
                <w:iCs/>
                <w:sz w:val="20"/>
                <w:szCs w:val="20"/>
                <w:u w:val="single"/>
              </w:rPr>
              <w:t>s</w:t>
            </w:r>
            <w:r w:rsidR="00EA38A1" w:rsidRPr="0079463E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C82F8D" w:rsidRPr="0079463E">
              <w:rPr>
                <w:rFonts w:eastAsia="Calibri" w:cstheme="minorHAnsi"/>
                <w:iCs/>
                <w:sz w:val="20"/>
                <w:szCs w:val="20"/>
              </w:rPr>
              <w:t>Este modelo de reporte de información será incluido en los pliegos de contratación, siendo obligatori</w:t>
            </w:r>
            <w:r w:rsidR="00DC1667" w:rsidRPr="0079463E">
              <w:rPr>
                <w:rFonts w:eastAsia="Calibri" w:cstheme="minorHAnsi"/>
                <w:iCs/>
                <w:sz w:val="20"/>
                <w:szCs w:val="20"/>
              </w:rPr>
              <w:t xml:space="preserve">o que se reporten avances relativos a, por ejemplo, </w:t>
            </w:r>
            <w:r w:rsidR="00BE5248" w:rsidRPr="0079463E">
              <w:rPr>
                <w:rFonts w:eastAsia="Calibri" w:cstheme="minorHAnsi"/>
                <w:iCs/>
                <w:sz w:val="20"/>
                <w:szCs w:val="20"/>
              </w:rPr>
              <w:t>“Cantidad de árboles y arbustos plantados (BDU-010)</w:t>
            </w:r>
            <w:r w:rsidR="00D90149" w:rsidRPr="0079463E">
              <w:rPr>
                <w:rFonts w:eastAsia="Calibri" w:cstheme="minorHAnsi"/>
                <w:iCs/>
                <w:sz w:val="20"/>
                <w:szCs w:val="20"/>
              </w:rPr>
              <w:t xml:space="preserve"> (B)</w:t>
            </w:r>
            <w:r w:rsidR="00BE5248" w:rsidRPr="0079463E">
              <w:rPr>
                <w:rFonts w:eastAsia="Calibri" w:cstheme="minorHAnsi"/>
                <w:iCs/>
                <w:sz w:val="20"/>
                <w:szCs w:val="20"/>
              </w:rPr>
              <w:t xml:space="preserve">”, </w:t>
            </w:r>
            <w:r w:rsidR="006649EA" w:rsidRPr="0079463E">
              <w:rPr>
                <w:rFonts w:eastAsia="Calibri" w:cstheme="minorHAnsi"/>
                <w:iCs/>
                <w:sz w:val="20"/>
                <w:szCs w:val="20"/>
              </w:rPr>
              <w:t>“Longitud de corredores ecológicos (CON-002)</w:t>
            </w:r>
            <w:r w:rsidR="00D90149" w:rsidRPr="0079463E">
              <w:rPr>
                <w:rFonts w:eastAsia="Calibri" w:cstheme="minorHAnsi"/>
                <w:iCs/>
                <w:sz w:val="20"/>
                <w:szCs w:val="20"/>
              </w:rPr>
              <w:t xml:space="preserve"> (B)”,</w:t>
            </w:r>
            <w:r w:rsidR="0079463E">
              <w:rPr>
                <w:rFonts w:eastAsia="Calibri" w:cstheme="minorHAnsi"/>
                <w:iCs/>
                <w:sz w:val="20"/>
                <w:szCs w:val="20"/>
              </w:rPr>
              <w:t xml:space="preserve"> etc</w:t>
            </w:r>
            <w:r w:rsidR="006649EA" w:rsidRPr="0079463E">
              <w:rPr>
                <w:rFonts w:eastAsia="Calibri" w:cstheme="minorHAnsi"/>
                <w:iCs/>
                <w:sz w:val="20"/>
                <w:szCs w:val="20"/>
              </w:rPr>
              <w:t>.</w:t>
            </w:r>
            <w:r w:rsidR="00F5040D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EA38A1" w:rsidRPr="0079463E" w:rsidRDefault="00F5040D" w:rsidP="00F5040D">
            <w:pPr>
              <w:spacing w:after="60" w:line="240" w:lineRule="auto"/>
              <w:ind w:left="748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Estas mediciones se verán acompañadas por </w:t>
            </w:r>
            <w:r w:rsidR="00E20897">
              <w:rPr>
                <w:rFonts w:eastAsia="Calibri" w:cstheme="minorHAnsi"/>
                <w:iCs/>
                <w:sz w:val="20"/>
                <w:szCs w:val="20"/>
              </w:rPr>
              <w:t xml:space="preserve">un </w:t>
            </w:r>
            <w:r w:rsidR="00E20897" w:rsidRPr="00E20897">
              <w:rPr>
                <w:rFonts w:eastAsia="Calibri" w:cstheme="minorHAnsi"/>
                <w:iCs/>
                <w:sz w:val="20"/>
                <w:szCs w:val="20"/>
                <w:u w:val="single"/>
              </w:rPr>
              <w:t>reportaje fotográfico del avance de las actuaciones</w:t>
            </w:r>
            <w:r w:rsidR="00E20897" w:rsidRPr="00E20897">
              <w:rPr>
                <w:rFonts w:eastAsia="Calibri" w:cstheme="minorHAnsi"/>
                <w:iCs/>
                <w:sz w:val="20"/>
                <w:szCs w:val="20"/>
              </w:rPr>
              <w:t xml:space="preserve">. Se establecerán diversos </w:t>
            </w:r>
            <w:r w:rsidR="00E20897" w:rsidRPr="00697045">
              <w:rPr>
                <w:rFonts w:eastAsia="Calibri" w:cstheme="minorHAnsi"/>
                <w:iCs/>
                <w:sz w:val="20"/>
                <w:szCs w:val="20"/>
                <w:u w:val="single"/>
              </w:rPr>
              <w:t>puntos d</w:t>
            </w:r>
            <w:r w:rsidR="00E0512F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e verificación del avance de la </w:t>
            </w:r>
            <w:r w:rsidR="0093042E">
              <w:rPr>
                <w:rFonts w:eastAsia="Calibri" w:cstheme="minorHAnsi"/>
                <w:iCs/>
                <w:sz w:val="20"/>
                <w:szCs w:val="20"/>
                <w:u w:val="single"/>
              </w:rPr>
              <w:t>renaturalización</w:t>
            </w:r>
            <w:r w:rsidR="00E0512F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E20897" w:rsidRPr="00E20897">
              <w:rPr>
                <w:rFonts w:eastAsia="Calibri" w:cstheme="minorHAnsi"/>
                <w:iCs/>
                <w:sz w:val="20"/>
                <w:szCs w:val="20"/>
              </w:rPr>
              <w:t xml:space="preserve">para medir los indicadores necesarios, desde los cuales se tomarán imágenes en cada una de </w:t>
            </w:r>
            <w:r w:rsidR="00E0512F">
              <w:rPr>
                <w:rFonts w:eastAsia="Calibri" w:cstheme="minorHAnsi"/>
                <w:iCs/>
                <w:sz w:val="20"/>
                <w:szCs w:val="20"/>
              </w:rPr>
              <w:t xml:space="preserve">las visitadas. </w:t>
            </w:r>
          </w:p>
          <w:p w:rsidR="00F5040D" w:rsidRPr="00F5040D" w:rsidRDefault="00AC5243" w:rsidP="00F5040D">
            <w:pPr>
              <w:pStyle w:val="Prrafodelista"/>
              <w:numPr>
                <w:ilvl w:val="0"/>
                <w:numId w:val="12"/>
              </w:numPr>
              <w:spacing w:after="60" w:line="240" w:lineRule="auto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4C1524">
              <w:rPr>
                <w:rFonts w:eastAsia="Calibri" w:cstheme="minorHAnsi"/>
                <w:iCs/>
                <w:sz w:val="20"/>
                <w:szCs w:val="20"/>
                <w:u w:val="single"/>
              </w:rPr>
              <w:t>Consolidación y monitorización por parte de la OTM</w:t>
            </w:r>
          </w:p>
          <w:p w:rsidR="00317627" w:rsidRPr="004C1524" w:rsidRDefault="00EA38A1" w:rsidP="00F5040D">
            <w:pPr>
              <w:pStyle w:val="Prrafodelista"/>
              <w:spacing w:after="60" w:line="240" w:lineRule="auto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4C1524">
              <w:rPr>
                <w:rFonts w:eastAsia="Calibri" w:cstheme="minorHAnsi"/>
                <w:iCs/>
                <w:sz w:val="20"/>
                <w:szCs w:val="20"/>
              </w:rPr>
              <w:t>Es</w:t>
            </w:r>
            <w:r w:rsidR="00AC5243" w:rsidRPr="004C1524">
              <w:rPr>
                <w:rFonts w:eastAsia="Calibri" w:cstheme="minorHAnsi"/>
                <w:iCs/>
                <w:sz w:val="20"/>
                <w:szCs w:val="20"/>
              </w:rPr>
              <w:t>t</w:t>
            </w:r>
            <w:r w:rsidRPr="004C1524">
              <w:rPr>
                <w:rFonts w:eastAsia="Calibri" w:cstheme="minorHAnsi"/>
                <w:iCs/>
                <w:sz w:val="20"/>
                <w:szCs w:val="20"/>
              </w:rPr>
              <w:t xml:space="preserve">a información </w:t>
            </w:r>
            <w:r w:rsidR="00ED3856" w:rsidRPr="004C1524">
              <w:rPr>
                <w:rFonts w:eastAsia="Calibri" w:cstheme="minorHAnsi"/>
                <w:iCs/>
                <w:sz w:val="20"/>
                <w:szCs w:val="20"/>
              </w:rPr>
              <w:t>(</w:t>
            </w:r>
            <w:r w:rsidR="006649EA" w:rsidRPr="004C1524">
              <w:rPr>
                <w:rFonts w:eastAsia="Calibri" w:cstheme="minorHAnsi"/>
                <w:iCs/>
                <w:sz w:val="20"/>
                <w:szCs w:val="20"/>
              </w:rPr>
              <w:t xml:space="preserve">mayormente </w:t>
            </w:r>
            <w:r w:rsidRPr="004C1524">
              <w:rPr>
                <w:rFonts w:eastAsia="Calibri" w:cstheme="minorHAnsi"/>
                <w:iCs/>
                <w:sz w:val="20"/>
                <w:szCs w:val="20"/>
              </w:rPr>
              <w:t>cuantitativa</w:t>
            </w:r>
            <w:r w:rsidR="00ED3856" w:rsidRPr="004C1524">
              <w:rPr>
                <w:rFonts w:eastAsia="Calibri" w:cstheme="minorHAnsi"/>
                <w:iCs/>
                <w:sz w:val="20"/>
                <w:szCs w:val="20"/>
              </w:rPr>
              <w:t>)</w:t>
            </w:r>
            <w:r w:rsidRPr="004C1524">
              <w:rPr>
                <w:rFonts w:eastAsia="Calibri" w:cstheme="minorHAnsi"/>
                <w:iCs/>
                <w:sz w:val="20"/>
                <w:szCs w:val="20"/>
              </w:rPr>
              <w:t xml:space="preserve"> será</w:t>
            </w:r>
            <w:r w:rsidR="006649EA" w:rsidRPr="004C1524">
              <w:rPr>
                <w:rFonts w:eastAsia="Calibri" w:cstheme="minorHAnsi"/>
                <w:iCs/>
                <w:sz w:val="20"/>
                <w:szCs w:val="20"/>
              </w:rPr>
              <w:t xml:space="preserve"> remitida a la OTM</w:t>
            </w:r>
            <w:r w:rsidR="00E0512F">
              <w:rPr>
                <w:rFonts w:eastAsia="Calibri" w:cstheme="minorHAnsi"/>
                <w:iCs/>
                <w:sz w:val="20"/>
                <w:szCs w:val="20"/>
              </w:rPr>
              <w:t xml:space="preserve"> (Técnico/a calidad e indicadores)</w:t>
            </w:r>
            <w:r w:rsidR="006649EA" w:rsidRPr="004C1524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="0079463E" w:rsidRPr="004C1524">
              <w:rPr>
                <w:rFonts w:eastAsia="Calibri" w:cstheme="minorHAnsi"/>
                <w:iCs/>
                <w:sz w:val="20"/>
                <w:szCs w:val="20"/>
              </w:rPr>
              <w:t>encargada</w:t>
            </w:r>
            <w:r w:rsidR="006649EA" w:rsidRPr="004C1524">
              <w:rPr>
                <w:rFonts w:eastAsia="Calibri" w:cstheme="minorHAnsi"/>
                <w:iCs/>
                <w:sz w:val="20"/>
                <w:szCs w:val="20"/>
              </w:rPr>
              <w:t xml:space="preserve"> de la gestión y supervisión general. Su tarea será </w:t>
            </w:r>
            <w:r w:rsidR="008B3509">
              <w:rPr>
                <w:rFonts w:eastAsia="Calibri" w:cstheme="minorHAnsi"/>
                <w:iCs/>
                <w:sz w:val="20"/>
                <w:szCs w:val="20"/>
              </w:rPr>
              <w:t xml:space="preserve">ordenar y </w:t>
            </w:r>
            <w:r w:rsidR="006649EA" w:rsidRPr="004C1524">
              <w:rPr>
                <w:rFonts w:eastAsia="Calibri" w:cstheme="minorHAnsi"/>
                <w:iCs/>
                <w:sz w:val="20"/>
                <w:szCs w:val="20"/>
              </w:rPr>
              <w:t>consolidar todos los indicadores</w:t>
            </w:r>
            <w:r w:rsidR="00EF5FAA" w:rsidRPr="004C1524">
              <w:rPr>
                <w:rFonts w:eastAsia="Calibri" w:cstheme="minorHAnsi"/>
                <w:iCs/>
                <w:sz w:val="20"/>
                <w:szCs w:val="20"/>
              </w:rPr>
              <w:t xml:space="preserve"> de las distintas contrataciones que puedan estar reportando</w:t>
            </w:r>
            <w:r w:rsidR="00ED3856" w:rsidRPr="004C1524">
              <w:rPr>
                <w:rFonts w:eastAsia="Calibri" w:cstheme="minorHAnsi"/>
                <w:iCs/>
                <w:sz w:val="20"/>
                <w:szCs w:val="20"/>
              </w:rPr>
              <w:t xml:space="preserve"> trimestralmente</w:t>
            </w:r>
            <w:r w:rsidR="00317627" w:rsidRPr="004C1524">
              <w:rPr>
                <w:rFonts w:eastAsia="Calibri" w:cstheme="minorHAnsi"/>
                <w:iCs/>
                <w:sz w:val="20"/>
                <w:szCs w:val="20"/>
              </w:rPr>
              <w:t>.</w:t>
            </w:r>
            <w:r w:rsidR="006E6F17" w:rsidRPr="004C1524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4C1524" w:rsidRPr="004C1524">
              <w:rPr>
                <w:rFonts w:eastAsia="Calibri" w:cstheme="minorHAnsi"/>
                <w:iCs/>
                <w:sz w:val="20"/>
                <w:szCs w:val="20"/>
              </w:rPr>
              <w:t>Será en</w:t>
            </w:r>
            <w:r w:rsidR="00A801EB" w:rsidRPr="004C1524">
              <w:rPr>
                <w:rFonts w:eastAsia="Calibri" w:cstheme="minorHAnsi"/>
                <w:iCs/>
                <w:sz w:val="20"/>
                <w:szCs w:val="20"/>
              </w:rPr>
              <w:t xml:space="preserve"> el marco de esta tarea</w:t>
            </w:r>
            <w:r w:rsidR="004C1524" w:rsidRPr="004C1524">
              <w:rPr>
                <w:rFonts w:eastAsia="Calibri" w:cstheme="minorHAnsi"/>
                <w:iCs/>
                <w:sz w:val="20"/>
                <w:szCs w:val="20"/>
              </w:rPr>
              <w:t xml:space="preserve"> donde </w:t>
            </w:r>
            <w:r w:rsidR="006E6F17" w:rsidRPr="004C1524">
              <w:rPr>
                <w:rFonts w:eastAsia="Calibri" w:cstheme="minorHAnsi"/>
                <w:iCs/>
                <w:sz w:val="20"/>
                <w:szCs w:val="20"/>
              </w:rPr>
              <w:t xml:space="preserve">la OTM </w:t>
            </w:r>
            <w:r w:rsidR="004C1524" w:rsidRPr="004C1524">
              <w:rPr>
                <w:rFonts w:eastAsia="Calibri" w:cstheme="minorHAnsi"/>
                <w:iCs/>
                <w:sz w:val="20"/>
                <w:szCs w:val="20"/>
              </w:rPr>
              <w:t>mida aquellos indicadores no dependientes de contrataciones.</w:t>
            </w:r>
          </w:p>
          <w:p w:rsidR="00F5040D" w:rsidRPr="00F5040D" w:rsidRDefault="004C1524" w:rsidP="00F5040D">
            <w:pPr>
              <w:pStyle w:val="Prrafodelista"/>
              <w:numPr>
                <w:ilvl w:val="0"/>
                <w:numId w:val="12"/>
              </w:numPr>
              <w:spacing w:after="60" w:line="240" w:lineRule="auto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F5040D">
              <w:rPr>
                <w:rFonts w:eastAsia="Calibri" w:cstheme="minorHAnsi"/>
                <w:iCs/>
                <w:sz w:val="20"/>
                <w:szCs w:val="20"/>
                <w:u w:val="single"/>
              </w:rPr>
              <w:t>Procesamiento de los indicadores</w:t>
            </w:r>
            <w:r w:rsidR="00F5040D" w:rsidRPr="00F5040D">
              <w:rPr>
                <w:rFonts w:eastAsia="Calibri" w:cstheme="minorHAnsi"/>
                <w:iCs/>
                <w:sz w:val="20"/>
                <w:szCs w:val="20"/>
                <w:u w:val="single"/>
              </w:rPr>
              <w:t xml:space="preserve"> y georreferenciación</w:t>
            </w:r>
          </w:p>
          <w:p w:rsidR="00A868B9" w:rsidRPr="00F5040D" w:rsidRDefault="00270C97" w:rsidP="00F5040D">
            <w:pPr>
              <w:pStyle w:val="Prrafodelista"/>
              <w:spacing w:after="60" w:line="240" w:lineRule="auto"/>
              <w:contextualSpacing w:val="0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F5040D">
              <w:rPr>
                <w:rFonts w:eastAsia="Calibri" w:cstheme="minorHAnsi"/>
                <w:iCs/>
                <w:sz w:val="20"/>
                <w:szCs w:val="20"/>
              </w:rPr>
              <w:t xml:space="preserve">Una vez la OTM tenga los datos en bruto, estos serán 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>analizad</w:t>
            </w:r>
            <w:r w:rsidRPr="00F5040D">
              <w:rPr>
                <w:rFonts w:eastAsia="Calibri" w:cstheme="minorHAnsi"/>
                <w:iCs/>
                <w:sz w:val="20"/>
                <w:szCs w:val="20"/>
              </w:rPr>
              <w:t>os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>, tratad</w:t>
            </w:r>
            <w:r w:rsidRPr="00F5040D">
              <w:rPr>
                <w:rFonts w:eastAsia="Calibri" w:cstheme="minorHAnsi"/>
                <w:iCs/>
                <w:sz w:val="20"/>
                <w:szCs w:val="20"/>
              </w:rPr>
              <w:t xml:space="preserve">os </w:t>
            </w:r>
            <w:r w:rsidR="00E86339">
              <w:rPr>
                <w:rFonts w:eastAsia="Calibri" w:cstheme="minorHAnsi"/>
                <w:iCs/>
                <w:sz w:val="20"/>
                <w:szCs w:val="20"/>
              </w:rPr>
              <w:t>y procesados</w:t>
            </w:r>
            <w:r w:rsidRPr="00F5040D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>por un servicio especializado</w:t>
            </w:r>
            <w:r w:rsidRPr="00F5040D">
              <w:rPr>
                <w:rFonts w:eastAsia="Calibri" w:cstheme="minorHAnsi"/>
                <w:iCs/>
                <w:sz w:val="20"/>
                <w:szCs w:val="20"/>
              </w:rPr>
              <w:t xml:space="preserve">, una 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>consultora</w:t>
            </w:r>
            <w:r w:rsidR="007E7DAE" w:rsidRPr="00F5040D">
              <w:rPr>
                <w:rFonts w:eastAsia="Calibri" w:cstheme="minorHAnsi"/>
                <w:iCs/>
                <w:sz w:val="20"/>
                <w:szCs w:val="20"/>
              </w:rPr>
              <w:t xml:space="preserve"> certificadora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 xml:space="preserve"> de indicadores, quién traducirá </w:t>
            </w:r>
            <w:r w:rsidRPr="00F5040D">
              <w:rPr>
                <w:rFonts w:eastAsia="Calibri" w:cstheme="minorHAnsi"/>
                <w:iCs/>
                <w:sz w:val="20"/>
                <w:szCs w:val="20"/>
              </w:rPr>
              <w:t>también toda esta información a</w:t>
            </w:r>
            <w:r w:rsidR="00B861A2" w:rsidRPr="00F5040D">
              <w:rPr>
                <w:rFonts w:eastAsia="Calibri" w:cstheme="minorHAnsi"/>
                <w:iCs/>
                <w:sz w:val="20"/>
                <w:szCs w:val="20"/>
              </w:rPr>
              <w:t xml:space="preserve"> un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 xml:space="preserve"> soporte de SIG, depur</w:t>
            </w:r>
            <w:r w:rsidR="00B861A2" w:rsidRPr="00F5040D">
              <w:rPr>
                <w:rFonts w:eastAsia="Calibri" w:cstheme="minorHAnsi"/>
                <w:iCs/>
                <w:sz w:val="20"/>
                <w:szCs w:val="20"/>
              </w:rPr>
              <w:t xml:space="preserve">ando 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>los datos en parámetros y valores cuantificables</w:t>
            </w:r>
            <w:r w:rsidR="00F5040D" w:rsidRPr="00F5040D">
              <w:rPr>
                <w:rFonts w:eastAsia="Calibri" w:cstheme="minorHAnsi"/>
                <w:iCs/>
                <w:sz w:val="20"/>
                <w:szCs w:val="20"/>
              </w:rPr>
              <w:t xml:space="preserve"> según se precise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>: m</w:t>
            </w:r>
            <w:r w:rsidR="00B861A2" w:rsidRPr="00F5040D">
              <w:rPr>
                <w:rFonts w:eastAsia="Calibri" w:cstheme="minorHAnsi"/>
                <w:iCs/>
                <w:sz w:val="20"/>
                <w:szCs w:val="20"/>
                <w:vertAlign w:val="superscript"/>
              </w:rPr>
              <w:t>2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>, m</w:t>
            </w:r>
            <w:r w:rsidR="00B861A2" w:rsidRPr="00F5040D">
              <w:rPr>
                <w:rFonts w:eastAsia="Calibri" w:cstheme="minorHAnsi"/>
                <w:iCs/>
                <w:sz w:val="20"/>
                <w:szCs w:val="20"/>
              </w:rPr>
              <w:t>etros lineales,</w:t>
            </w:r>
            <w:r w:rsidR="00EA38A1" w:rsidRPr="00F5040D">
              <w:rPr>
                <w:rFonts w:eastAsia="Calibri" w:cstheme="minorHAnsi"/>
                <w:iCs/>
                <w:sz w:val="20"/>
                <w:szCs w:val="20"/>
              </w:rPr>
              <w:t xml:space="preserve"> número especies, número personas etc</w:t>
            </w:r>
            <w:r w:rsidR="00844DAF" w:rsidRPr="00F5040D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  <w:r w:rsidR="007E7DAE" w:rsidRPr="00F5040D">
              <w:rPr>
                <w:rFonts w:eastAsia="Calibri" w:cstheme="minorHAnsi"/>
                <w:iCs/>
                <w:sz w:val="20"/>
                <w:szCs w:val="20"/>
              </w:rPr>
              <w:t>Obtendremos</w:t>
            </w:r>
            <w:r w:rsidR="00844DAF" w:rsidRPr="00F5040D">
              <w:rPr>
                <w:rFonts w:eastAsia="Calibri" w:cstheme="minorHAnsi"/>
                <w:iCs/>
                <w:sz w:val="20"/>
                <w:szCs w:val="20"/>
              </w:rPr>
              <w:t xml:space="preserve"> dos </w:t>
            </w:r>
            <w:r w:rsidR="007E7DAE" w:rsidRPr="00F5040D">
              <w:rPr>
                <w:rFonts w:eastAsia="Calibri" w:cstheme="minorHAnsi"/>
                <w:iCs/>
                <w:sz w:val="20"/>
                <w:szCs w:val="20"/>
              </w:rPr>
              <w:t>potentes capas</w:t>
            </w:r>
            <w:r w:rsidR="00844DAF" w:rsidRPr="00F5040D">
              <w:rPr>
                <w:rFonts w:eastAsia="Calibri" w:cstheme="minorHAnsi"/>
                <w:iCs/>
                <w:sz w:val="20"/>
                <w:szCs w:val="20"/>
              </w:rPr>
              <w:t xml:space="preserve"> de información: seguimiento cartográfico, y seguimiento valores parámetro.</w:t>
            </w:r>
            <w:r w:rsidR="006B29FF">
              <w:rPr>
                <w:rFonts w:eastAsia="Calibri" w:cstheme="minorHAnsi"/>
                <w:iCs/>
                <w:sz w:val="20"/>
                <w:szCs w:val="20"/>
              </w:rPr>
              <w:t xml:space="preserve"> Esta información </w:t>
            </w:r>
            <w:r w:rsidR="00EC1CC6">
              <w:rPr>
                <w:rFonts w:eastAsia="Calibri" w:cstheme="minorHAnsi"/>
                <w:iCs/>
                <w:sz w:val="20"/>
                <w:szCs w:val="20"/>
              </w:rPr>
              <w:t>se certificará por las asistencia técnica especializada.</w:t>
            </w:r>
          </w:p>
          <w:p w:rsidR="00A868B9" w:rsidRPr="00A868B9" w:rsidRDefault="00293E46" w:rsidP="00E0512F">
            <w:pPr>
              <w:spacing w:after="120" w:line="240" w:lineRule="auto"/>
              <w:jc w:val="both"/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Act</w:t>
            </w:r>
            <w:r w:rsidR="00DF2A8F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uación</w:t>
            </w:r>
            <w:r w:rsidR="0093042E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3</w:t>
            </w:r>
            <w:r w:rsidR="00A868B9" w:rsidRPr="00A868B9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 xml:space="preserve">) </w:t>
            </w:r>
            <w:r w:rsidR="00205F77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Monitorización y s</w:t>
            </w:r>
            <w:r w:rsidR="00A868B9" w:rsidRPr="00A868B9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eguimiento del Plan de gobernanza y participación (C1)</w:t>
            </w:r>
          </w:p>
          <w:p w:rsidR="00A868B9" w:rsidRPr="00A868B9" w:rsidRDefault="00A868B9" w:rsidP="00E0512F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A868B9">
              <w:rPr>
                <w:rFonts w:eastAsia="Calibri" w:cstheme="minorHAnsi"/>
                <w:iCs/>
                <w:sz w:val="20"/>
                <w:szCs w:val="20"/>
              </w:rPr>
              <w:t>La verificación del cumplimiento del plan se justificará mediante la recopilación de las actas/listados en los que se reflejará el número de personas (diferenciadas por género) que participan en las diferentes actuaciones</w:t>
            </w:r>
            <w:r w:rsidR="00DF2A8F">
              <w:rPr>
                <w:rFonts w:eastAsia="Calibri" w:cstheme="minorHAnsi"/>
                <w:iCs/>
                <w:sz w:val="20"/>
                <w:szCs w:val="20"/>
              </w:rPr>
              <w:t>, reuniones, talleres,…</w:t>
            </w:r>
            <w:r w:rsidR="00564A9C">
              <w:rPr>
                <w:rFonts w:eastAsia="Calibri" w:cstheme="minorHAnsi"/>
                <w:iCs/>
                <w:sz w:val="20"/>
                <w:szCs w:val="20"/>
              </w:rPr>
              <w:t>Será una tarea encomendada a la OTM, dado su liderazgo</w:t>
            </w:r>
            <w:r w:rsidR="00B10EA5">
              <w:rPr>
                <w:rFonts w:eastAsia="Calibri" w:cstheme="minorHAnsi"/>
                <w:iCs/>
                <w:sz w:val="20"/>
                <w:szCs w:val="20"/>
              </w:rPr>
              <w:t xml:space="preserve"> en la gobernanza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A868B9" w:rsidRPr="00A868B9" w:rsidRDefault="00293E46" w:rsidP="00E0512F">
            <w:pPr>
              <w:spacing w:after="120" w:line="240" w:lineRule="auto"/>
              <w:jc w:val="both"/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Act</w:t>
            </w:r>
            <w:r w:rsidR="00DF2A8F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 xml:space="preserve">uación </w:t>
            </w:r>
            <w:r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4</w:t>
            </w:r>
            <w:r w:rsidR="00A868B9" w:rsidRPr="00A868B9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 xml:space="preserve">) </w:t>
            </w:r>
            <w:r w:rsidR="00205F77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Monitorización y s</w:t>
            </w:r>
            <w:r w:rsidR="00205F77" w:rsidRPr="00A868B9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 xml:space="preserve">eguimiento </w:t>
            </w:r>
            <w:r w:rsidR="00A868B9" w:rsidRPr="00A868B9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del Plan de comunicación y sensibilización (C2)</w:t>
            </w:r>
          </w:p>
          <w:p w:rsidR="00B10EA5" w:rsidRDefault="00A868B9" w:rsidP="00E0512F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A868B9">
              <w:rPr>
                <w:rFonts w:eastAsia="Calibri" w:cstheme="minorHAnsi"/>
                <w:iCs/>
                <w:sz w:val="20"/>
                <w:szCs w:val="20"/>
              </w:rPr>
              <w:t>La verificación del cumplimiento de la comunicación se justificará mediante la recopilación de actas y asistencias, listados y número de eventos,</w:t>
            </w:r>
            <w:r w:rsidR="00DF2A8F">
              <w:rPr>
                <w:rFonts w:eastAsia="Calibri" w:cstheme="minorHAnsi"/>
                <w:iCs/>
                <w:sz w:val="20"/>
                <w:szCs w:val="20"/>
              </w:rPr>
              <w:t xml:space="preserve"> número campañas,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 xml:space="preserve"> alcance</w:t>
            </w:r>
            <w:r w:rsidR="00300A41">
              <w:rPr>
                <w:rFonts w:eastAsia="Calibri" w:cstheme="minorHAnsi"/>
                <w:iCs/>
                <w:sz w:val="20"/>
                <w:szCs w:val="20"/>
              </w:rPr>
              <w:t xml:space="preserve"> proyección mediática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 xml:space="preserve"> (visualizaciones, </w:t>
            </w:r>
            <w:proofErr w:type="spellStart"/>
            <w:r w:rsidR="00300A41">
              <w:rPr>
                <w:rFonts w:eastAsia="Calibri" w:cstheme="minorHAnsi"/>
                <w:iCs/>
                <w:sz w:val="20"/>
                <w:szCs w:val="20"/>
              </w:rPr>
              <w:t>clickeos</w:t>
            </w:r>
            <w:proofErr w:type="spellEnd"/>
            <w:r w:rsidR="00300A41">
              <w:rPr>
                <w:rFonts w:eastAsia="Calibri" w:cstheme="minorHAnsi"/>
                <w:iCs/>
                <w:sz w:val="20"/>
                <w:szCs w:val="20"/>
              </w:rPr>
              <w:t>, redifusión, indexados,…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 xml:space="preserve">.). Esta información </w:t>
            </w:r>
            <w:r w:rsidR="004E7D0E">
              <w:rPr>
                <w:rFonts w:eastAsia="Calibri" w:cstheme="minorHAnsi"/>
                <w:iCs/>
                <w:sz w:val="20"/>
                <w:szCs w:val="20"/>
              </w:rPr>
              <w:t xml:space="preserve">será </w:t>
            </w:r>
            <w:r w:rsidR="00AB1CCA">
              <w:rPr>
                <w:rFonts w:eastAsia="Calibri" w:cstheme="minorHAnsi"/>
                <w:iCs/>
                <w:sz w:val="20"/>
                <w:szCs w:val="20"/>
              </w:rPr>
              <w:t>exigida a la empresa contratada para las labores de comunicación y sensibilización</w:t>
            </w:r>
            <w:r w:rsidR="004E7D0E">
              <w:rPr>
                <w:rFonts w:eastAsia="Calibri" w:cstheme="minorHAnsi"/>
                <w:iCs/>
                <w:sz w:val="20"/>
                <w:szCs w:val="20"/>
              </w:rPr>
              <w:t>, consolidándose por parte de</w:t>
            </w:r>
            <w:r w:rsidR="00B10EA5">
              <w:rPr>
                <w:rFonts w:eastAsia="Calibri" w:cstheme="minorHAnsi"/>
                <w:iCs/>
                <w:sz w:val="20"/>
                <w:szCs w:val="20"/>
              </w:rPr>
              <w:t xml:space="preserve"> la OTM.</w:t>
            </w:r>
          </w:p>
          <w:p w:rsidR="00A41343" w:rsidRDefault="00B10EA5" w:rsidP="00E0512F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Se planteará el mismo modelo que en la implementación de las acciones B; </w:t>
            </w:r>
            <w:r w:rsidR="00DF2A8F">
              <w:rPr>
                <w:rFonts w:eastAsia="Calibri" w:cstheme="minorHAnsi"/>
                <w:iCs/>
                <w:sz w:val="20"/>
                <w:szCs w:val="20"/>
              </w:rPr>
              <w:t xml:space="preserve">el responsable del contrato de Comunicación </w:t>
            </w:r>
            <w:r w:rsidR="00AB3789">
              <w:rPr>
                <w:rFonts w:eastAsia="Calibri" w:cstheme="minorHAnsi"/>
                <w:iCs/>
                <w:sz w:val="20"/>
                <w:szCs w:val="20"/>
              </w:rPr>
              <w:t>se encargará de remitir trimestralmente información relativa a asistentes, alcance, interacciones en redes sociales, etc.</w:t>
            </w:r>
            <w:r w:rsidR="00EE0A9F">
              <w:rPr>
                <w:rFonts w:eastAsia="Calibri" w:cstheme="minorHAnsi"/>
                <w:iCs/>
                <w:sz w:val="20"/>
                <w:szCs w:val="20"/>
              </w:rPr>
              <w:t>, cubriéndose estos por la medición directa por parte de la OTM</w:t>
            </w:r>
            <w:r w:rsidR="006A55DB">
              <w:rPr>
                <w:rFonts w:eastAsia="Calibri" w:cstheme="minorHAnsi"/>
                <w:iCs/>
                <w:sz w:val="20"/>
                <w:szCs w:val="20"/>
              </w:rPr>
              <w:t xml:space="preserve"> cuando sea necesario</w:t>
            </w:r>
            <w:r w:rsidR="00EE0A9F">
              <w:rPr>
                <w:rFonts w:eastAsia="Calibri" w:cstheme="minorHAnsi"/>
                <w:iCs/>
                <w:sz w:val="20"/>
                <w:szCs w:val="20"/>
              </w:rPr>
              <w:t>.</w:t>
            </w:r>
          </w:p>
          <w:p w:rsidR="00DF2A8F" w:rsidRPr="00EC1CC6" w:rsidRDefault="00DF2A8F" w:rsidP="00E0512F">
            <w:pPr>
              <w:spacing w:after="120" w:line="240" w:lineRule="auto"/>
              <w:jc w:val="both"/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</w:pPr>
            <w:r w:rsidRPr="00EC1CC6">
              <w:rPr>
                <w:rFonts w:eastAsia="Calibri" w:cstheme="minorHAnsi"/>
                <w:b/>
                <w:iCs/>
                <w:sz w:val="20"/>
                <w:szCs w:val="20"/>
                <w:u w:val="single"/>
              </w:rPr>
              <w:t>Actuación 5) Monitorización y seguimiento de la Transversalidad Perspectiva de Género</w:t>
            </w:r>
          </w:p>
          <w:p w:rsidR="00DF2A8F" w:rsidRDefault="00DF2A8F" w:rsidP="00DF2A8F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A868B9">
              <w:rPr>
                <w:rFonts w:eastAsia="Calibri" w:cstheme="minorHAnsi"/>
                <w:iCs/>
                <w:sz w:val="20"/>
                <w:szCs w:val="20"/>
              </w:rPr>
              <w:t xml:space="preserve">La verificación del 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cumplimiento de este indicador 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>se justificará mediante la recopilación de actas y asistencias, listados y número de eventos,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número campañas,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 xml:space="preserve"> alcance</w:t>
            </w:r>
            <w:r>
              <w:rPr>
                <w:rFonts w:eastAsia="Calibri" w:cstheme="minorHAnsi"/>
                <w:iCs/>
                <w:sz w:val="20"/>
                <w:szCs w:val="20"/>
              </w:rPr>
              <w:t xml:space="preserve"> proyección mediática</w:t>
            </w:r>
            <w:r w:rsidR="002E777B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>número de pers</w:t>
            </w:r>
            <w:r w:rsidR="00C84588">
              <w:rPr>
                <w:rFonts w:eastAsia="Calibri" w:cstheme="minorHAnsi"/>
                <w:iCs/>
                <w:sz w:val="20"/>
                <w:szCs w:val="20"/>
              </w:rPr>
              <w:t xml:space="preserve">onas segregadas por sexos, 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>que participan en las diferentes actuaciones</w:t>
            </w:r>
            <w:r>
              <w:rPr>
                <w:rFonts w:eastAsia="Calibri" w:cstheme="minorHAnsi"/>
                <w:iCs/>
                <w:sz w:val="20"/>
                <w:szCs w:val="20"/>
              </w:rPr>
              <w:t>, reuniones, talleres</w:t>
            </w:r>
            <w:r w:rsidRPr="00A868B9">
              <w:rPr>
                <w:rFonts w:eastAsia="Calibri" w:cstheme="minorHAnsi"/>
                <w:iCs/>
                <w:sz w:val="20"/>
                <w:szCs w:val="20"/>
              </w:rPr>
              <w:t xml:space="preserve"> Esta información </w:t>
            </w:r>
            <w:r>
              <w:rPr>
                <w:rFonts w:eastAsia="Calibri" w:cstheme="minorHAnsi"/>
                <w:iCs/>
                <w:sz w:val="20"/>
                <w:szCs w:val="20"/>
              </w:rPr>
              <w:t>será exigida a todas las empresas</w:t>
            </w:r>
            <w:r w:rsidR="002E777B">
              <w:rPr>
                <w:rFonts w:eastAsia="Calibri" w:cstheme="minorHAnsi"/>
                <w:iCs/>
                <w:sz w:val="20"/>
                <w:szCs w:val="20"/>
              </w:rPr>
              <w:t xml:space="preserve"> servicios/obras/suministros contratadas y subcontratadas, </w:t>
            </w:r>
            <w:r w:rsidR="00EE58BB">
              <w:rPr>
                <w:rFonts w:eastAsia="Calibri" w:cstheme="minorHAnsi"/>
                <w:iCs/>
                <w:sz w:val="20"/>
                <w:szCs w:val="20"/>
              </w:rPr>
              <w:t xml:space="preserve">de forma trimestral </w:t>
            </w:r>
            <w:r>
              <w:rPr>
                <w:rFonts w:eastAsia="Calibri" w:cstheme="minorHAnsi"/>
                <w:iCs/>
                <w:sz w:val="20"/>
                <w:szCs w:val="20"/>
              </w:rPr>
              <w:t>consolidándose por parte de la OTM.</w:t>
            </w:r>
          </w:p>
          <w:p w:rsidR="00F7399C" w:rsidRPr="00E27773" w:rsidRDefault="00C84588" w:rsidP="00E0512F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>Actuación. 6</w:t>
            </w:r>
            <w:r w:rsidR="00205F77" w:rsidRPr="00E27773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 xml:space="preserve">) </w:t>
            </w:r>
            <w:r w:rsidR="003B23E4" w:rsidRPr="00E27773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 xml:space="preserve">Elaboración de la </w:t>
            </w:r>
            <w:r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 xml:space="preserve">evaluación intermedia y </w:t>
            </w:r>
            <w:r w:rsidR="003B23E4" w:rsidRPr="00E27773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>evaluación final</w:t>
            </w:r>
            <w:r w:rsidR="004A101B" w:rsidRPr="00E27773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</w:p>
          <w:p w:rsidR="003B23E4" w:rsidRDefault="003B23E4" w:rsidP="00E0512F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E27773">
              <w:rPr>
                <w:rFonts w:eastAsia="Calibri" w:cstheme="minorHAnsi"/>
                <w:iCs/>
                <w:sz w:val="20"/>
                <w:szCs w:val="20"/>
              </w:rPr>
              <w:lastRenderedPageBreak/>
              <w:t>Se confeccionará la</w:t>
            </w:r>
            <w:r w:rsidR="006570B7">
              <w:rPr>
                <w:rFonts w:eastAsia="Calibri" w:cstheme="minorHAnsi"/>
                <w:iCs/>
                <w:sz w:val="20"/>
                <w:szCs w:val="20"/>
              </w:rPr>
              <w:t>s</w:t>
            </w:r>
            <w:r w:rsidR="002436FD">
              <w:rPr>
                <w:rFonts w:eastAsia="Calibri" w:cstheme="minorHAnsi"/>
                <w:iCs/>
                <w:sz w:val="20"/>
                <w:szCs w:val="20"/>
              </w:rPr>
              <w:t xml:space="preserve"> evaluacio</w:t>
            </w:r>
            <w:r w:rsidRPr="00E27773">
              <w:rPr>
                <w:rFonts w:eastAsia="Calibri" w:cstheme="minorHAnsi"/>
                <w:iCs/>
                <w:sz w:val="20"/>
                <w:szCs w:val="20"/>
              </w:rPr>
              <w:t>n</w:t>
            </w:r>
            <w:r w:rsidR="002436FD">
              <w:rPr>
                <w:rFonts w:eastAsia="Calibri" w:cstheme="minorHAnsi"/>
                <w:iCs/>
                <w:sz w:val="20"/>
                <w:szCs w:val="20"/>
              </w:rPr>
              <w:t>es intermedia y final</w:t>
            </w:r>
            <w:r w:rsidRPr="00E27773">
              <w:rPr>
                <w:rFonts w:eastAsia="Calibri" w:cstheme="minorHAnsi"/>
                <w:iCs/>
                <w:sz w:val="20"/>
                <w:szCs w:val="20"/>
              </w:rPr>
              <w:t xml:space="preserve">, aportando los valores finales de los indicadores </w:t>
            </w:r>
            <w:r w:rsidR="00EF71FE">
              <w:rPr>
                <w:rFonts w:eastAsia="Calibri" w:cstheme="minorHAnsi"/>
                <w:iCs/>
                <w:sz w:val="20"/>
                <w:szCs w:val="20"/>
              </w:rPr>
              <w:t xml:space="preserve">que se dispongan en la </w:t>
            </w:r>
            <w:r w:rsidR="008B1EEE">
              <w:rPr>
                <w:rFonts w:eastAsia="Calibri" w:cstheme="minorHAnsi"/>
                <w:iCs/>
                <w:sz w:val="20"/>
                <w:szCs w:val="20"/>
              </w:rPr>
              <w:t>intermedia</w:t>
            </w:r>
            <w:r w:rsidR="00EF71FE">
              <w:rPr>
                <w:rFonts w:eastAsia="Calibri" w:cstheme="minorHAnsi"/>
                <w:iCs/>
                <w:sz w:val="20"/>
                <w:szCs w:val="20"/>
              </w:rPr>
              <w:t xml:space="preserve"> y los finales en la evaluación final</w:t>
            </w:r>
            <w:r w:rsidR="008B1EEE">
              <w:rPr>
                <w:rFonts w:eastAsia="Calibri" w:cstheme="minorHAnsi"/>
                <w:iCs/>
                <w:sz w:val="20"/>
                <w:szCs w:val="20"/>
              </w:rPr>
              <w:t xml:space="preserve">, </w:t>
            </w:r>
            <w:r w:rsidRPr="00E27773">
              <w:rPr>
                <w:rFonts w:eastAsia="Calibri" w:cstheme="minorHAnsi"/>
                <w:iCs/>
                <w:sz w:val="20"/>
                <w:szCs w:val="20"/>
              </w:rPr>
              <w:t xml:space="preserve">contrastando el avance con las líneas base marcadas al inicio. </w:t>
            </w:r>
            <w:r w:rsidR="008B1EEE">
              <w:rPr>
                <w:rFonts w:eastAsia="Calibri" w:cstheme="minorHAnsi"/>
                <w:iCs/>
                <w:sz w:val="20"/>
                <w:szCs w:val="20"/>
              </w:rPr>
              <w:t>Estas evaluaciones</w:t>
            </w:r>
            <w:r w:rsidRPr="00E27773">
              <w:rPr>
                <w:rFonts w:eastAsia="Calibri" w:cstheme="minorHAnsi"/>
                <w:iCs/>
                <w:sz w:val="20"/>
                <w:szCs w:val="20"/>
              </w:rPr>
              <w:t xml:space="preserve"> analizará</w:t>
            </w:r>
            <w:r w:rsidR="008B1EEE">
              <w:rPr>
                <w:rFonts w:eastAsia="Calibri" w:cstheme="minorHAnsi"/>
                <w:iCs/>
                <w:sz w:val="20"/>
                <w:szCs w:val="20"/>
              </w:rPr>
              <w:t>n</w:t>
            </w:r>
            <w:r w:rsidRPr="00E27773">
              <w:rPr>
                <w:rFonts w:eastAsia="Calibri" w:cstheme="minorHAnsi"/>
                <w:iCs/>
                <w:sz w:val="20"/>
                <w:szCs w:val="20"/>
              </w:rPr>
              <w:t xml:space="preserve"> el éxito del proyecto IVLA y la consecución de objetivos</w:t>
            </w:r>
            <w:r w:rsidR="00F7399C" w:rsidRPr="00E27773">
              <w:rPr>
                <w:rFonts w:eastAsia="Calibri" w:cstheme="minorHAnsi"/>
                <w:iCs/>
                <w:sz w:val="20"/>
                <w:szCs w:val="20"/>
              </w:rPr>
              <w:t xml:space="preserve">, valorándolo de manera global </w:t>
            </w:r>
            <w:r w:rsidR="006429EF" w:rsidRPr="00E27773">
              <w:rPr>
                <w:rFonts w:eastAsia="Calibri" w:cstheme="minorHAnsi"/>
                <w:iCs/>
                <w:sz w:val="20"/>
                <w:szCs w:val="20"/>
              </w:rPr>
              <w:t xml:space="preserve">y </w:t>
            </w:r>
            <w:r w:rsidR="00F7399C" w:rsidRPr="00E27773">
              <w:rPr>
                <w:rFonts w:eastAsia="Calibri" w:cstheme="minorHAnsi"/>
                <w:iCs/>
                <w:sz w:val="20"/>
                <w:szCs w:val="20"/>
              </w:rPr>
              <w:t xml:space="preserve">en términos de impacto y capacidad transformadora. Irá acompañado de </w:t>
            </w:r>
            <w:r w:rsidRPr="00E27773">
              <w:rPr>
                <w:rFonts w:eastAsia="Calibri" w:cstheme="minorHAnsi"/>
                <w:iCs/>
                <w:sz w:val="20"/>
                <w:szCs w:val="20"/>
              </w:rPr>
              <w:t>una serie de lecciones aprendidas y mejoras internas para el Ayuntamiento de Andújar</w:t>
            </w:r>
            <w:r w:rsidR="00C062CE" w:rsidRPr="00E27773">
              <w:rPr>
                <w:rFonts w:eastAsia="Calibri" w:cstheme="minorHAnsi"/>
                <w:iCs/>
                <w:sz w:val="20"/>
                <w:szCs w:val="20"/>
              </w:rPr>
              <w:t>, principalmente</w:t>
            </w:r>
            <w:r w:rsidRPr="00E27773">
              <w:rPr>
                <w:rFonts w:eastAsia="Calibri" w:cstheme="minorHAnsi"/>
                <w:iCs/>
                <w:sz w:val="20"/>
                <w:szCs w:val="20"/>
              </w:rPr>
              <w:t xml:space="preserve"> en materia de gestión de la goberna</w:t>
            </w:r>
            <w:r w:rsidR="00CD465D">
              <w:rPr>
                <w:rFonts w:eastAsia="Calibri" w:cstheme="minorHAnsi"/>
                <w:iCs/>
                <w:sz w:val="20"/>
                <w:szCs w:val="20"/>
              </w:rPr>
              <w:t>nza de la infraestructura verde.</w:t>
            </w:r>
          </w:p>
          <w:p w:rsidR="00C062CE" w:rsidRDefault="00C062CE" w:rsidP="00C062CE">
            <w:pPr>
              <w:spacing w:after="120" w:line="240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A419B2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>Act</w:t>
            </w:r>
            <w:r w:rsidR="00C84588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>uación</w:t>
            </w:r>
            <w:r w:rsidRPr="00A419B2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="00C84588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>7</w:t>
            </w:r>
            <w:r w:rsidRPr="00A419B2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 xml:space="preserve">) Integración del sistema de indicadores </w:t>
            </w:r>
            <w:r w:rsidR="00A419B2" w:rsidRPr="00A419B2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>y marco de gestión en el Ayuntamiento</w:t>
            </w:r>
            <w:r w:rsidR="00BD1E30">
              <w:rPr>
                <w:rFonts w:eastAsia="Calibri" w:cstheme="minorHAnsi"/>
                <w:b/>
                <w:bCs/>
                <w:iCs/>
                <w:sz w:val="20"/>
                <w:szCs w:val="20"/>
                <w:u w:val="single"/>
              </w:rPr>
              <w:t>: Plan Estratégico Infraestructura Verde Andújar</w:t>
            </w:r>
          </w:p>
          <w:p w:rsidR="00A419B2" w:rsidRPr="00A419B2" w:rsidRDefault="00A419B2" w:rsidP="008D0A3B">
            <w:pPr>
              <w:spacing w:after="12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Las recomendaciones </w:t>
            </w:r>
            <w:r w:rsidR="007834D8">
              <w:rPr>
                <w:rFonts w:eastAsia="Calibri" w:cstheme="minorHAnsi"/>
                <w:iCs/>
                <w:sz w:val="20"/>
                <w:szCs w:val="20"/>
              </w:rPr>
              <w:t>recogidas en la evaluación final se centrarán en cómo</w:t>
            </w:r>
            <w:r w:rsidR="00791DE3">
              <w:rPr>
                <w:rFonts w:eastAsia="Calibri" w:cstheme="minorHAnsi"/>
                <w:iCs/>
                <w:sz w:val="20"/>
                <w:szCs w:val="20"/>
              </w:rPr>
              <w:t xml:space="preserve"> mejorar la ejecución de proyectos de infraestructura verde dentro del Ayuntamiento de Andújar, pero también sentarán las bases </w:t>
            </w:r>
            <w:r w:rsidR="00353162">
              <w:rPr>
                <w:rFonts w:eastAsia="Calibri" w:cstheme="minorHAnsi"/>
                <w:iCs/>
                <w:sz w:val="20"/>
                <w:szCs w:val="20"/>
              </w:rPr>
              <w:t xml:space="preserve">para incorporar este marco y sistema de seguimiento de indicadores </w:t>
            </w:r>
            <w:r w:rsidR="007425B6">
              <w:rPr>
                <w:rFonts w:eastAsia="Calibri" w:cstheme="minorHAnsi"/>
                <w:iCs/>
                <w:sz w:val="20"/>
                <w:szCs w:val="20"/>
              </w:rPr>
              <w:t xml:space="preserve">en el Ayuntamiento. La base de datos </w:t>
            </w:r>
            <w:r w:rsidR="00C5634D">
              <w:rPr>
                <w:rFonts w:eastAsia="Calibri" w:cstheme="minorHAnsi"/>
                <w:iCs/>
                <w:sz w:val="20"/>
                <w:szCs w:val="20"/>
              </w:rPr>
              <w:t>georreferenciada</w:t>
            </w:r>
            <w:r w:rsidR="007425B6">
              <w:rPr>
                <w:rFonts w:eastAsia="Calibri" w:cstheme="minorHAnsi"/>
                <w:iCs/>
                <w:sz w:val="20"/>
                <w:szCs w:val="20"/>
              </w:rPr>
              <w:t xml:space="preserve"> GIS se integrará </w:t>
            </w:r>
            <w:r w:rsidR="00BD2B0F">
              <w:rPr>
                <w:rFonts w:eastAsia="Calibri" w:cstheme="minorHAnsi"/>
                <w:iCs/>
                <w:sz w:val="20"/>
                <w:szCs w:val="20"/>
              </w:rPr>
              <w:t>con las herramientas con las que ya c</w:t>
            </w:r>
            <w:r w:rsidR="00D5597F">
              <w:rPr>
                <w:rFonts w:eastAsia="Calibri" w:cstheme="minorHAnsi"/>
                <w:iCs/>
                <w:sz w:val="20"/>
                <w:szCs w:val="20"/>
              </w:rPr>
              <w:t xml:space="preserve">uenta el Ayuntamiento </w:t>
            </w:r>
            <w:r w:rsidR="00C5634D">
              <w:rPr>
                <w:rFonts w:eastAsia="Calibri" w:cstheme="minorHAnsi"/>
                <w:iCs/>
                <w:sz w:val="20"/>
                <w:szCs w:val="20"/>
              </w:rPr>
              <w:t>y el seguimiento de indicadore</w:t>
            </w:r>
            <w:r w:rsidR="00D01336">
              <w:rPr>
                <w:rFonts w:eastAsia="Calibri" w:cstheme="minorHAnsi"/>
                <w:iCs/>
                <w:sz w:val="20"/>
                <w:szCs w:val="20"/>
              </w:rPr>
              <w:t>s será mantenido más allá de 2028, escalándose a nivel municipal.</w:t>
            </w:r>
            <w:r w:rsidR="00502966">
              <w:rPr>
                <w:rFonts w:eastAsia="Calibri" w:cstheme="minorHAnsi"/>
                <w:iCs/>
                <w:sz w:val="20"/>
                <w:szCs w:val="20"/>
              </w:rPr>
              <w:t xml:space="preserve"> El mantenimiento y medición posterior de indicadores </w:t>
            </w:r>
            <w:r w:rsidR="00207ACD">
              <w:rPr>
                <w:rFonts w:eastAsia="Calibri" w:cstheme="minorHAnsi"/>
                <w:iCs/>
                <w:sz w:val="20"/>
                <w:szCs w:val="20"/>
              </w:rPr>
              <w:t xml:space="preserve">y su ampliación a toda la infraestructura verde de Andújar </w:t>
            </w:r>
            <w:r w:rsidR="00502966">
              <w:rPr>
                <w:rFonts w:eastAsia="Calibri" w:cstheme="minorHAnsi"/>
                <w:iCs/>
                <w:sz w:val="20"/>
                <w:szCs w:val="20"/>
              </w:rPr>
              <w:t xml:space="preserve">se encuadrará </w:t>
            </w:r>
            <w:r w:rsidR="00207ACD">
              <w:rPr>
                <w:rFonts w:eastAsia="Calibri" w:cstheme="minorHAnsi"/>
                <w:iCs/>
                <w:sz w:val="20"/>
                <w:szCs w:val="20"/>
              </w:rPr>
              <w:t xml:space="preserve">dentro del seguimiento del Plan </w:t>
            </w:r>
            <w:r w:rsidR="00BD1E30">
              <w:rPr>
                <w:rFonts w:eastAsia="Calibri" w:cstheme="minorHAnsi"/>
                <w:iCs/>
                <w:sz w:val="20"/>
                <w:szCs w:val="20"/>
              </w:rPr>
              <w:t xml:space="preserve">Estratégico </w:t>
            </w:r>
            <w:r w:rsidR="00207ACD">
              <w:rPr>
                <w:rFonts w:eastAsia="Calibri" w:cstheme="minorHAnsi"/>
                <w:iCs/>
                <w:sz w:val="20"/>
                <w:szCs w:val="20"/>
              </w:rPr>
              <w:t>de Infraestructura Verde y Azul (Acción A1). Este instrumento incorporará un</w:t>
            </w:r>
            <w:r w:rsidR="00412FD9">
              <w:rPr>
                <w:rFonts w:eastAsia="Calibri" w:cstheme="minorHAnsi"/>
                <w:iCs/>
                <w:sz w:val="20"/>
                <w:szCs w:val="20"/>
              </w:rPr>
              <w:t xml:space="preserve"> Plan de seguimiento propio, con una </w:t>
            </w:r>
            <w:r w:rsidR="00207ACD">
              <w:rPr>
                <w:rFonts w:eastAsia="Calibri" w:cstheme="minorHAnsi"/>
                <w:iCs/>
                <w:sz w:val="20"/>
                <w:szCs w:val="20"/>
              </w:rPr>
              <w:t xml:space="preserve">batería de indicadores </w:t>
            </w:r>
            <w:r w:rsidR="008D1BB8">
              <w:rPr>
                <w:rFonts w:eastAsia="Calibri" w:cstheme="minorHAnsi"/>
                <w:iCs/>
                <w:sz w:val="20"/>
                <w:szCs w:val="20"/>
              </w:rPr>
              <w:t>a medio-largo plazo</w:t>
            </w:r>
            <w:r w:rsidR="00412FD9">
              <w:rPr>
                <w:rFonts w:eastAsia="Calibri" w:cstheme="minorHAnsi"/>
                <w:iCs/>
                <w:sz w:val="20"/>
                <w:szCs w:val="20"/>
              </w:rPr>
              <w:t xml:space="preserve">. </w:t>
            </w:r>
          </w:p>
        </w:tc>
      </w:tr>
      <w:tr w:rsidR="00A41343" w:rsidRPr="001618E0" w:rsidTr="00590B49">
        <w:trPr>
          <w:trHeight w:val="343"/>
        </w:trPr>
        <w:tc>
          <w:tcPr>
            <w:tcW w:w="4961" w:type="dxa"/>
            <w:gridSpan w:val="2"/>
            <w:shd w:val="clear" w:color="auto" w:fill="215868" w:themeFill="accent5" w:themeFillShade="80"/>
            <w:vAlign w:val="center"/>
          </w:tcPr>
          <w:p w:rsidR="00A41343" w:rsidRPr="001618E0" w:rsidRDefault="00A41343" w:rsidP="00590B49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5E49F2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lastRenderedPageBreak/>
              <w:t>Presupuesto de la acción (€, con dos decimales)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41343" w:rsidRPr="001618E0" w:rsidRDefault="00DE56AB" w:rsidP="00590B49">
            <w:pPr>
              <w:keepNext/>
              <w:spacing w:after="0" w:line="240" w:lineRule="auto"/>
              <w:ind w:right="28"/>
              <w:rPr>
                <w:rFonts w:eastAsia="Calibri" w:cs="Times New Roman"/>
                <w:iCs/>
                <w:sz w:val="20"/>
                <w:szCs w:val="20"/>
              </w:rPr>
            </w:pPr>
            <w:r w:rsidRPr="00DE56AB">
              <w:rPr>
                <w:rFonts w:eastAsia="Calibri" w:cs="Times New Roman"/>
                <w:iCs/>
                <w:sz w:val="20"/>
                <w:szCs w:val="20"/>
              </w:rPr>
              <w:t>156.500,50 €</w:t>
            </w:r>
          </w:p>
        </w:tc>
      </w:tr>
      <w:tr w:rsidR="00A41343" w:rsidRPr="001618E0" w:rsidTr="00590B49">
        <w:trPr>
          <w:trHeight w:val="420"/>
        </w:trPr>
        <w:tc>
          <w:tcPr>
            <w:tcW w:w="10773" w:type="dxa"/>
            <w:gridSpan w:val="3"/>
            <w:shd w:val="clear" w:color="auto" w:fill="31849B" w:themeFill="accent5" w:themeFillShade="BF"/>
            <w:vAlign w:val="center"/>
          </w:tcPr>
          <w:p w:rsidR="00A41343" w:rsidRPr="001618E0" w:rsidRDefault="001036A9" w:rsidP="00590B49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Descripción</w:t>
            </w:r>
            <w:r w:rsidRPr="001618E0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 del presupuesto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No se deberán indicar importes en este apartado. Se deberá i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ndicar 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para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cada partida 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la descripción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de los gastos planteados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que corresponden a los importes reflejados en el Excel de Presupuesto para esta acción. En caso de agrupación, se indicará el detalle para cada una de las entidades que la conforman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. Mayor detalle (documentos completos) puede ser anexado como “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Documentación Adicional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” en el correspondiente campo 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de la herramienta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habilitad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para la presentación de </w:t>
            </w:r>
            <w:r w:rsidR="009632D5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solicitudes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)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1036A9" w:rsidRPr="00DB7D0E" w:rsidTr="009632D5">
        <w:trPr>
          <w:trHeight w:val="63"/>
        </w:trPr>
        <w:tc>
          <w:tcPr>
            <w:tcW w:w="2977" w:type="dxa"/>
            <w:shd w:val="clear" w:color="auto" w:fill="215868" w:themeFill="accent5" w:themeFillShade="80"/>
            <w:vAlign w:val="center"/>
          </w:tcPr>
          <w:p w:rsidR="001036A9" w:rsidRPr="00DB7D0E" w:rsidRDefault="001036A9" w:rsidP="001036A9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DB7D0E"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Partida presupuestaria</w:t>
            </w:r>
          </w:p>
        </w:tc>
        <w:tc>
          <w:tcPr>
            <w:tcW w:w="7796" w:type="dxa"/>
            <w:gridSpan w:val="2"/>
            <w:shd w:val="clear" w:color="auto" w:fill="215868" w:themeFill="accent5" w:themeFillShade="80"/>
            <w:vAlign w:val="center"/>
          </w:tcPr>
          <w:p w:rsidR="001036A9" w:rsidRPr="00DB7D0E" w:rsidRDefault="001036A9" w:rsidP="001036A9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Descripción de los gastos contemplados </w:t>
            </w:r>
            <w:r w:rsidRPr="00615EE4">
              <w:rPr>
                <w:rFonts w:eastAsia="Calibri" w:cs="Times New Roman"/>
                <w:i/>
                <w:color w:val="FFFFFF" w:themeColor="background1"/>
                <w:sz w:val="18"/>
                <w:szCs w:val="18"/>
              </w:rPr>
              <w:t>(por ejemplo, perfil del personal y tareas que desempeña, tipología de viajes y desplazamientos previstos, etc.)</w:t>
            </w:r>
          </w:p>
        </w:tc>
      </w:tr>
      <w:tr w:rsidR="001036A9" w:rsidRPr="001618E0" w:rsidTr="009B3719">
        <w:trPr>
          <w:trHeight w:val="221"/>
        </w:trPr>
        <w:tc>
          <w:tcPr>
            <w:tcW w:w="2977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1036A9" w:rsidRPr="00A41343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Personal</w:t>
            </w:r>
            <w:r w:rsidRPr="00A4134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  <w:vAlign w:val="center"/>
          </w:tcPr>
          <w:p w:rsidR="001036A9" w:rsidRPr="001618E0" w:rsidRDefault="00C657C0" w:rsidP="00512151">
            <w:pPr>
              <w:spacing w:after="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Personal de la OTM </w:t>
            </w:r>
            <w:r w:rsidR="00EC1CC6">
              <w:rPr>
                <w:rFonts w:eastAsia="Calibri" w:cs="Times New Roman"/>
                <w:iCs/>
                <w:sz w:val="20"/>
                <w:szCs w:val="20"/>
              </w:rPr>
              <w:t>“</w:t>
            </w:r>
            <w:r w:rsidR="009A58E5">
              <w:rPr>
                <w:rFonts w:eastAsia="Calibri" w:cs="Times New Roman"/>
                <w:iCs/>
                <w:sz w:val="20"/>
                <w:szCs w:val="20"/>
              </w:rPr>
              <w:t>Técnico/a Calidad e Indicadores</w:t>
            </w:r>
            <w:r w:rsidR="00EC1CC6">
              <w:rPr>
                <w:rFonts w:eastAsia="Calibri" w:cs="Times New Roman"/>
                <w:iCs/>
                <w:sz w:val="20"/>
                <w:szCs w:val="20"/>
              </w:rPr>
              <w:t>”</w:t>
            </w:r>
            <w:r w:rsidR="009A58E5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iCs/>
                <w:sz w:val="20"/>
                <w:szCs w:val="20"/>
              </w:rPr>
              <w:t>dedicado a la medición y seguimiento de indicadores, con el apoyo de</w:t>
            </w:r>
            <w:r w:rsidR="00512151">
              <w:rPr>
                <w:rFonts w:eastAsia="Calibri" w:cs="Times New Roman"/>
                <w:iCs/>
                <w:sz w:val="20"/>
                <w:szCs w:val="20"/>
              </w:rPr>
              <w:t>l Director de Obra y de una Consultora/Certificadora</w:t>
            </w:r>
            <w:r>
              <w:rPr>
                <w:rFonts w:eastAsia="Calibri" w:cs="Times New Roman"/>
                <w:iCs/>
                <w:sz w:val="20"/>
                <w:szCs w:val="20"/>
              </w:rPr>
              <w:t>, se encargará de consolidar el sistema de indicadores</w:t>
            </w:r>
            <w:r w:rsidR="003C5690">
              <w:rPr>
                <w:rFonts w:eastAsia="Calibri" w:cs="Times New Roman"/>
                <w:iCs/>
                <w:sz w:val="20"/>
                <w:szCs w:val="20"/>
              </w:rPr>
              <w:t xml:space="preserve"> y de reportar/servir de intermediario con la FB. </w:t>
            </w:r>
          </w:p>
        </w:tc>
      </w:tr>
      <w:tr w:rsidR="001036A9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1036A9" w:rsidRPr="00A41343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Viajes y manutención </w:t>
            </w:r>
          </w:p>
        </w:tc>
        <w:tc>
          <w:tcPr>
            <w:tcW w:w="7796" w:type="dxa"/>
            <w:gridSpan w:val="2"/>
            <w:vAlign w:val="center"/>
          </w:tcPr>
          <w:p w:rsidR="001036A9" w:rsidRPr="001618E0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1036A9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1036A9" w:rsidRPr="00A41343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Contratación </w:t>
            </w:r>
          </w:p>
        </w:tc>
        <w:tc>
          <w:tcPr>
            <w:tcW w:w="7796" w:type="dxa"/>
            <w:gridSpan w:val="2"/>
            <w:vAlign w:val="center"/>
          </w:tcPr>
          <w:p w:rsidR="001036A9" w:rsidRPr="001618E0" w:rsidRDefault="005970D4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Para apoyar la medición de indicadores y </w:t>
            </w:r>
            <w:r w:rsidR="00110CAD">
              <w:rPr>
                <w:rFonts w:eastAsia="Calibri" w:cs="Times New Roman"/>
                <w:iCs/>
                <w:sz w:val="20"/>
                <w:szCs w:val="20"/>
              </w:rPr>
              <w:t>elaborar las evaluaciones intermedias y finales, el Ayuntamiento contratará un servicio</w:t>
            </w:r>
            <w:r w:rsidR="00E33FC8">
              <w:rPr>
                <w:rFonts w:eastAsia="Calibri" w:cs="Times New Roman"/>
                <w:iCs/>
                <w:sz w:val="20"/>
                <w:szCs w:val="20"/>
              </w:rPr>
              <w:t xml:space="preserve"> Consultora</w:t>
            </w:r>
            <w:r w:rsidR="00512151">
              <w:rPr>
                <w:rFonts w:eastAsia="Calibri" w:cs="Times New Roman"/>
                <w:iCs/>
                <w:sz w:val="20"/>
                <w:szCs w:val="20"/>
              </w:rPr>
              <w:t>/Certificadora</w:t>
            </w:r>
            <w:r w:rsidR="00D26B14">
              <w:rPr>
                <w:rFonts w:eastAsia="Calibri" w:cs="Times New Roman"/>
                <w:iCs/>
                <w:sz w:val="20"/>
                <w:szCs w:val="20"/>
              </w:rPr>
              <w:t xml:space="preserve"> Sistema </w:t>
            </w:r>
            <w:r w:rsidR="00E33FC8">
              <w:rPr>
                <w:rFonts w:eastAsia="Calibri" w:cs="Times New Roman"/>
                <w:iCs/>
                <w:sz w:val="20"/>
                <w:szCs w:val="20"/>
              </w:rPr>
              <w:t>de Mediciones e Indicadores.</w:t>
            </w:r>
          </w:p>
        </w:tc>
      </w:tr>
      <w:tr w:rsidR="001036A9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1036A9" w:rsidRPr="00A41343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Subcontratación</w:t>
            </w:r>
          </w:p>
        </w:tc>
        <w:tc>
          <w:tcPr>
            <w:tcW w:w="7796" w:type="dxa"/>
            <w:gridSpan w:val="2"/>
            <w:vAlign w:val="center"/>
          </w:tcPr>
          <w:p w:rsidR="001036A9" w:rsidRPr="001618E0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1036A9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1036A9" w:rsidRPr="00A41343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Material inventariable</w:t>
            </w:r>
          </w:p>
        </w:tc>
        <w:tc>
          <w:tcPr>
            <w:tcW w:w="7796" w:type="dxa"/>
            <w:gridSpan w:val="2"/>
            <w:vAlign w:val="center"/>
          </w:tcPr>
          <w:p w:rsidR="001036A9" w:rsidRPr="001618E0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1036A9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1036A9" w:rsidRPr="00A41343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color w:val="000000"/>
                <w:sz w:val="20"/>
                <w:szCs w:val="20"/>
              </w:rPr>
              <w:t>Material fungible</w:t>
            </w:r>
          </w:p>
        </w:tc>
        <w:tc>
          <w:tcPr>
            <w:tcW w:w="7796" w:type="dxa"/>
            <w:gridSpan w:val="2"/>
            <w:vAlign w:val="center"/>
          </w:tcPr>
          <w:p w:rsidR="001036A9" w:rsidRPr="001618E0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1036A9" w:rsidRPr="001618E0" w:rsidTr="009632D5">
        <w:trPr>
          <w:trHeight w:val="63"/>
        </w:trPr>
        <w:tc>
          <w:tcPr>
            <w:tcW w:w="2977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</w:tcPr>
          <w:p w:rsidR="001036A9" w:rsidRPr="00A41343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A41343">
              <w:rPr>
                <w:rFonts w:ascii="Calibri" w:hAnsi="Calibri" w:cs="Calibri"/>
                <w:sz w:val="20"/>
                <w:szCs w:val="20"/>
              </w:rPr>
              <w:t>Otros (gastos de expropiación e intereses de la garantía bancaria)</w:t>
            </w:r>
          </w:p>
        </w:tc>
        <w:tc>
          <w:tcPr>
            <w:tcW w:w="7796" w:type="dxa"/>
            <w:gridSpan w:val="2"/>
            <w:vAlign w:val="center"/>
          </w:tcPr>
          <w:p w:rsidR="001036A9" w:rsidRPr="001618E0" w:rsidRDefault="001036A9" w:rsidP="001036A9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1036A9" w:rsidRPr="001618E0" w:rsidTr="00590B49">
        <w:trPr>
          <w:trHeight w:val="343"/>
        </w:trPr>
        <w:tc>
          <w:tcPr>
            <w:tcW w:w="10773" w:type="dxa"/>
            <w:gridSpan w:val="3"/>
            <w:shd w:val="clear" w:color="auto" w:fill="31849B" w:themeFill="accent5" w:themeFillShade="BF"/>
          </w:tcPr>
          <w:p w:rsidR="001036A9" w:rsidRPr="001618E0" w:rsidRDefault="001036A9" w:rsidP="001036A9">
            <w:pPr>
              <w:keepNext/>
              <w:spacing w:after="0" w:line="240" w:lineRule="auto"/>
              <w:rPr>
                <w:color w:val="FFFFFF" w:themeColor="background1"/>
                <w:sz w:val="20"/>
                <w:szCs w:val="20"/>
              </w:rPr>
            </w:pPr>
            <w:r w:rsidRPr="00487424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Obstáculos previstos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(Indicar aquellas circunstancias que puedan, previsiblemente, dificultar la consecución de los resultados esperados y sintetizar las medidas de actuación que se plantean para solventarlas)</w:t>
            </w:r>
            <w:r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1036A9" w:rsidRPr="001618E0" w:rsidTr="009D1796">
        <w:trPr>
          <w:trHeight w:val="479"/>
        </w:trPr>
        <w:tc>
          <w:tcPr>
            <w:tcW w:w="10773" w:type="dxa"/>
            <w:gridSpan w:val="3"/>
            <w:vAlign w:val="center"/>
          </w:tcPr>
          <w:p w:rsidR="00641DC8" w:rsidRPr="00641DC8" w:rsidRDefault="00641DC8" w:rsidP="00D26B14">
            <w:pPr>
              <w:spacing w:after="120" w:line="240" w:lineRule="auto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641DC8">
              <w:rPr>
                <w:rFonts w:eastAsia="Calibri" w:cs="Times New Roman"/>
                <w:iCs/>
                <w:sz w:val="20"/>
                <w:szCs w:val="20"/>
              </w:rPr>
              <w:t xml:space="preserve">Entre los posibles obstáculos que podemos encontrar a la hora de verificar el cumplimiento de indicadores se barajan: </w:t>
            </w:r>
          </w:p>
          <w:p w:rsidR="00641DC8" w:rsidRDefault="005657C8" w:rsidP="00D26B14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464"/>
              <w:contextualSpacing w:val="0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  <w:u w:val="single"/>
              </w:rPr>
              <w:t xml:space="preserve">Desviaciones en los </w:t>
            </w:r>
            <w:r w:rsidR="00641DC8" w:rsidRPr="005657C8">
              <w:rPr>
                <w:rFonts w:eastAsia="Calibri" w:cs="Times New Roman"/>
                <w:iCs/>
                <w:sz w:val="20"/>
                <w:szCs w:val="20"/>
                <w:u w:val="single"/>
              </w:rPr>
              <w:t>valores iniciales de indicadores</w:t>
            </w:r>
            <w:r w:rsidR="00641DC8" w:rsidRPr="005657C8">
              <w:rPr>
                <w:rFonts w:eastAsia="Calibri" w:cs="Times New Roman"/>
                <w:iCs/>
                <w:sz w:val="20"/>
                <w:szCs w:val="20"/>
              </w:rPr>
              <w:t xml:space="preserve">: 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Es por ello que se ha propuesto como primera tarea y prioritaria la </w:t>
            </w:r>
            <w:r w:rsidR="00C04CF6">
              <w:rPr>
                <w:rFonts w:eastAsia="Calibri" w:cs="Times New Roman"/>
                <w:iCs/>
                <w:sz w:val="20"/>
                <w:szCs w:val="20"/>
              </w:rPr>
              <w:t xml:space="preserve">validación y comprobación de los indicadores, tanto a nivel interno y de trabajo de gabinete como </w:t>
            </w:r>
            <w:r w:rsidR="00C04CF6">
              <w:rPr>
                <w:rFonts w:eastAsia="Calibri" w:cs="Times New Roman"/>
                <w:i/>
                <w:sz w:val="20"/>
                <w:szCs w:val="20"/>
              </w:rPr>
              <w:t xml:space="preserve">in </w:t>
            </w:r>
            <w:r w:rsidR="00C04CF6" w:rsidRPr="00C04CF6">
              <w:rPr>
                <w:rFonts w:eastAsia="Calibri" w:cs="Times New Roman"/>
                <w:i/>
                <w:sz w:val="20"/>
                <w:szCs w:val="20"/>
              </w:rPr>
              <w:t>situ</w:t>
            </w:r>
            <w:r w:rsidR="00342BF9">
              <w:rPr>
                <w:rFonts w:eastAsia="Calibri" w:cs="Times New Roman"/>
                <w:iCs/>
                <w:sz w:val="20"/>
                <w:szCs w:val="20"/>
              </w:rPr>
              <w:t xml:space="preserve">, y </w:t>
            </w:r>
            <w:r w:rsidR="00C04CF6">
              <w:rPr>
                <w:rFonts w:eastAsia="Calibri" w:cs="Times New Roman"/>
                <w:iCs/>
                <w:sz w:val="20"/>
                <w:szCs w:val="20"/>
              </w:rPr>
              <w:t>estas comprobaciones se ejecutarán</w:t>
            </w:r>
            <w:r w:rsidR="00342BF9">
              <w:rPr>
                <w:rFonts w:eastAsia="Calibri" w:cs="Times New Roman"/>
                <w:iCs/>
                <w:sz w:val="20"/>
                <w:szCs w:val="20"/>
              </w:rPr>
              <w:t xml:space="preserve"> de forma simultánea y</w:t>
            </w:r>
            <w:r w:rsidR="00C04CF6">
              <w:rPr>
                <w:rFonts w:eastAsia="Calibri" w:cs="Times New Roman"/>
                <w:iCs/>
                <w:sz w:val="20"/>
                <w:szCs w:val="20"/>
              </w:rPr>
              <w:t xml:space="preserve"> en paralelo a la elaboración del Plan de </w:t>
            </w:r>
            <w:r w:rsidR="00C44445">
              <w:rPr>
                <w:rFonts w:eastAsia="Calibri" w:cs="Times New Roman"/>
                <w:iCs/>
                <w:sz w:val="20"/>
                <w:szCs w:val="20"/>
              </w:rPr>
              <w:t>Infraestructura</w:t>
            </w:r>
            <w:r w:rsidR="00C04CF6">
              <w:rPr>
                <w:rFonts w:eastAsia="Calibri" w:cs="Times New Roman"/>
                <w:iCs/>
                <w:sz w:val="20"/>
                <w:szCs w:val="20"/>
              </w:rPr>
              <w:t xml:space="preserve"> Verde y Azul de Andújar (A1)</w:t>
            </w:r>
            <w:r w:rsidR="00B47DE9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342BF9">
              <w:rPr>
                <w:rFonts w:eastAsia="Calibri" w:cs="Times New Roman"/>
                <w:iCs/>
                <w:sz w:val="20"/>
                <w:szCs w:val="20"/>
              </w:rPr>
              <w:t>para que la batería de indicadores sea homogénea, sólida e identificable.</w:t>
            </w:r>
          </w:p>
          <w:p w:rsidR="001036A9" w:rsidRPr="001618E0" w:rsidRDefault="00B47DE9" w:rsidP="00B47DE9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ind w:left="464"/>
              <w:contextualSpacing w:val="0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  <w:u w:val="single"/>
              </w:rPr>
              <w:t>Complejidad, dificultad metodológica y posible déficits en la</w:t>
            </w:r>
            <w:r w:rsidR="00641DC8" w:rsidRPr="00641DC8">
              <w:rPr>
                <w:rFonts w:eastAsia="Calibri" w:cs="Times New Roman"/>
                <w:iCs/>
                <w:sz w:val="20"/>
                <w:szCs w:val="20"/>
                <w:u w:val="single"/>
              </w:rPr>
              <w:t xml:space="preserve"> organización y recopilación de fuentes de verificación</w:t>
            </w:r>
            <w:r w:rsidR="00641DC8" w:rsidRPr="00641DC8">
              <w:rPr>
                <w:rFonts w:eastAsia="Calibri" w:cs="Times New Roman"/>
                <w:iCs/>
                <w:sz w:val="20"/>
                <w:szCs w:val="20"/>
              </w:rPr>
              <w:t>: Se ha dimensionado una dedicación fija, tanto en contratación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 externa como de personal técnico</w:t>
            </w:r>
            <w:r w:rsidR="00641DC8" w:rsidRPr="00641DC8">
              <w:rPr>
                <w:rFonts w:eastAsia="Calibri" w:cs="Times New Roman"/>
                <w:iCs/>
                <w:sz w:val="20"/>
                <w:szCs w:val="20"/>
              </w:rPr>
              <w:t xml:space="preserve"> del Ayuntamiento sólo para actualizar fuentes de verificación</w:t>
            </w:r>
            <w:r w:rsidR="00021493">
              <w:rPr>
                <w:rFonts w:eastAsia="Calibri" w:cs="Times New Roman"/>
                <w:iCs/>
                <w:sz w:val="20"/>
                <w:szCs w:val="20"/>
              </w:rPr>
              <w:t xml:space="preserve"> y organizar todo esta medición y seguimiento de indicadores.</w:t>
            </w:r>
          </w:p>
        </w:tc>
      </w:tr>
    </w:tbl>
    <w:p w:rsidR="0002199F" w:rsidRPr="001D04C4" w:rsidRDefault="0002199F" w:rsidP="0002199F">
      <w:pPr>
        <w:rPr>
          <w:sz w:val="8"/>
        </w:rPr>
      </w:pPr>
    </w:p>
    <w:p w:rsidR="0002199F" w:rsidRDefault="0002199F" w:rsidP="0002199F">
      <w:pPr>
        <w:spacing w:after="0" w:line="240" w:lineRule="auto"/>
      </w:pPr>
    </w:p>
    <w:sectPr w:rsidR="0002199F" w:rsidSect="0002199F">
      <w:headerReference w:type="default" r:id="rId15"/>
      <w:footerReference w:type="default" r:id="rId16"/>
      <w:pgSz w:w="11906" w:h="16838"/>
      <w:pgMar w:top="1418" w:right="567" w:bottom="1134" w:left="56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8F0" w:rsidRDefault="00CC38F0" w:rsidP="00CB75D8">
      <w:pPr>
        <w:spacing w:after="0" w:line="240" w:lineRule="auto"/>
      </w:pPr>
      <w:r>
        <w:separator/>
      </w:r>
    </w:p>
  </w:endnote>
  <w:endnote w:type="continuationSeparator" w:id="0">
    <w:p w:rsidR="00CC38F0" w:rsidRDefault="00CC38F0" w:rsidP="00CB75D8">
      <w:pPr>
        <w:spacing w:after="0" w:line="240" w:lineRule="auto"/>
      </w:pPr>
      <w:r>
        <w:continuationSeparator/>
      </w:r>
    </w:p>
  </w:endnote>
  <w:endnote w:type="continuationNotice" w:id="1">
    <w:p w:rsidR="00CC38F0" w:rsidRDefault="00CC38F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4834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039D8" w:rsidRPr="00A520E6" w:rsidRDefault="008039D8">
        <w:pPr>
          <w:pStyle w:val="Piedepgina"/>
          <w:jc w:val="center"/>
          <w:rPr>
            <w:sz w:val="20"/>
            <w:szCs w:val="20"/>
          </w:rPr>
        </w:pPr>
        <w:r w:rsidRPr="00A520E6">
          <w:rPr>
            <w:sz w:val="20"/>
            <w:szCs w:val="20"/>
          </w:rPr>
          <w:fldChar w:fldCharType="begin"/>
        </w:r>
        <w:r w:rsidRPr="00A520E6">
          <w:rPr>
            <w:sz w:val="20"/>
            <w:szCs w:val="20"/>
          </w:rPr>
          <w:instrText>PAGE   \* MERGEFORMAT</w:instrText>
        </w:r>
        <w:r w:rsidRPr="00A520E6">
          <w:rPr>
            <w:sz w:val="20"/>
            <w:szCs w:val="20"/>
          </w:rPr>
          <w:fldChar w:fldCharType="separate"/>
        </w:r>
        <w:r w:rsidR="00497556">
          <w:rPr>
            <w:noProof/>
            <w:sz w:val="20"/>
            <w:szCs w:val="20"/>
          </w:rPr>
          <w:t>3</w:t>
        </w:r>
        <w:r w:rsidRPr="00A520E6">
          <w:rPr>
            <w:sz w:val="20"/>
            <w:szCs w:val="20"/>
          </w:rPr>
          <w:fldChar w:fldCharType="end"/>
        </w:r>
      </w:p>
    </w:sdtContent>
  </w:sdt>
  <w:p w:rsidR="008039D8" w:rsidRDefault="008039D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00411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039D8" w:rsidRPr="009D1796" w:rsidRDefault="008039D8">
        <w:pPr>
          <w:pStyle w:val="Piedepgina"/>
          <w:jc w:val="center"/>
          <w:rPr>
            <w:sz w:val="20"/>
            <w:szCs w:val="20"/>
          </w:rPr>
        </w:pPr>
        <w:r w:rsidRPr="009D1796">
          <w:rPr>
            <w:sz w:val="20"/>
            <w:szCs w:val="20"/>
          </w:rPr>
          <w:fldChar w:fldCharType="begin"/>
        </w:r>
        <w:r w:rsidRPr="009D1796">
          <w:rPr>
            <w:sz w:val="20"/>
            <w:szCs w:val="20"/>
          </w:rPr>
          <w:instrText>PAGE   \* MERGEFORMAT</w:instrText>
        </w:r>
        <w:r w:rsidRPr="009D179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9D1796">
          <w:rPr>
            <w:sz w:val="20"/>
            <w:szCs w:val="20"/>
          </w:rPr>
          <w:fldChar w:fldCharType="end"/>
        </w:r>
      </w:p>
    </w:sdtContent>
  </w:sdt>
  <w:p w:rsidR="008039D8" w:rsidRDefault="008039D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0887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039D8" w:rsidRPr="00CC5A7F" w:rsidRDefault="008039D8">
        <w:pPr>
          <w:pStyle w:val="Piedepgina"/>
          <w:jc w:val="center"/>
          <w:rPr>
            <w:sz w:val="20"/>
            <w:szCs w:val="20"/>
          </w:rPr>
        </w:pPr>
        <w:r w:rsidRPr="00CC5A7F">
          <w:rPr>
            <w:sz w:val="20"/>
            <w:szCs w:val="20"/>
          </w:rPr>
          <w:fldChar w:fldCharType="begin"/>
        </w:r>
        <w:r w:rsidRPr="00CC5A7F">
          <w:rPr>
            <w:sz w:val="20"/>
            <w:szCs w:val="20"/>
          </w:rPr>
          <w:instrText>PAGE   \* MERGEFORMAT</w:instrText>
        </w:r>
        <w:r w:rsidRPr="00CC5A7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CC5A7F">
          <w:rPr>
            <w:sz w:val="20"/>
            <w:szCs w:val="20"/>
          </w:rPr>
          <w:fldChar w:fldCharType="end"/>
        </w:r>
      </w:p>
    </w:sdtContent>
  </w:sdt>
  <w:p w:rsidR="008039D8" w:rsidRDefault="008039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8F0" w:rsidRDefault="00CC38F0" w:rsidP="00CB75D8">
      <w:pPr>
        <w:spacing w:after="0" w:line="240" w:lineRule="auto"/>
      </w:pPr>
      <w:r>
        <w:separator/>
      </w:r>
    </w:p>
  </w:footnote>
  <w:footnote w:type="continuationSeparator" w:id="0">
    <w:p w:rsidR="00CC38F0" w:rsidRDefault="00CC38F0" w:rsidP="00CB75D8">
      <w:pPr>
        <w:spacing w:after="0" w:line="240" w:lineRule="auto"/>
      </w:pPr>
      <w:r>
        <w:continuationSeparator/>
      </w:r>
    </w:p>
  </w:footnote>
  <w:footnote w:type="continuationNotice" w:id="1">
    <w:p w:rsidR="00CC38F0" w:rsidRDefault="00CC38F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D8" w:rsidRPr="007E4873" w:rsidRDefault="008039D8" w:rsidP="00194A42">
    <w:pPr>
      <w:pStyle w:val="Encabezado"/>
      <w:jc w:val="center"/>
      <w:rPr>
        <w:rFonts w:ascii="Calibri" w:eastAsia="Times New Roman" w:hAnsi="Calibri" w:cs="Calibri"/>
        <w:b/>
        <w:bCs/>
        <w:color w:val="808080" w:themeColor="background1" w:themeShade="80"/>
        <w:sz w:val="20"/>
        <w:szCs w:val="20"/>
        <w:lang w:eastAsia="es-ES"/>
      </w:rPr>
    </w:pPr>
    <w:r>
      <w:rPr>
        <w:noProof/>
        <w:lang w:eastAsia="es-ES"/>
      </w:rPr>
      <w:drawing>
        <wp:inline distT="0" distB="0" distL="0" distR="0">
          <wp:extent cx="6523720" cy="344862"/>
          <wp:effectExtent l="0" t="0" r="0" b="0"/>
          <wp:docPr id="6558444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3525" cy="34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86068153"/>
  </w:p>
  <w:bookmarkEnd w:id="1"/>
  <w:p w:rsidR="008039D8" w:rsidRDefault="008039D8" w:rsidP="00194A42">
    <w:pPr>
      <w:spacing w:after="0"/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</w:p>
  <w:p w:rsidR="008039D8" w:rsidRPr="00194A42" w:rsidRDefault="008039D8" w:rsidP="00194A42">
    <w:pPr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>Convocatoria de subvenciones de la Fundación Biodiversidad F.S.P., en régimen de concurrencia competitiva, para el fomento de actuaciones dirigidas al desarrollo y consolidación de la infraestructura verde para la renaturalización y resiliencia de ciudades españolas correspondiente al año 2024 cofinanciada por el Fondo Europeo de Desarrollo Regional (FEDER)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D8" w:rsidRPr="007E4873" w:rsidRDefault="008039D8" w:rsidP="009B3719">
    <w:pPr>
      <w:pStyle w:val="Encabezado"/>
      <w:jc w:val="center"/>
      <w:rPr>
        <w:rFonts w:ascii="Calibri" w:eastAsia="Times New Roman" w:hAnsi="Calibri" w:cs="Calibri"/>
        <w:b/>
        <w:bCs/>
        <w:color w:val="808080" w:themeColor="background1" w:themeShade="80"/>
        <w:sz w:val="20"/>
        <w:szCs w:val="20"/>
        <w:lang w:eastAsia="es-ES"/>
      </w:rPr>
    </w:pPr>
    <w:r>
      <w:rPr>
        <w:noProof/>
        <w:lang w:eastAsia="es-ES"/>
      </w:rPr>
      <w:drawing>
        <wp:inline distT="0" distB="0" distL="0" distR="0">
          <wp:extent cx="6523720" cy="344862"/>
          <wp:effectExtent l="0" t="0" r="0" b="0"/>
          <wp:docPr id="7924207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3525" cy="34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9D8" w:rsidRDefault="008039D8" w:rsidP="009B3719">
    <w:pPr>
      <w:spacing w:after="0"/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</w:p>
  <w:p w:rsidR="008039D8" w:rsidRPr="009B3719" w:rsidRDefault="008039D8" w:rsidP="009B3719">
    <w:pPr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>Convocatoria de subvenciones de la Fundación Biodiversidad F.S.P., en régimen de concurrencia competitiva, para el fomento de actuaciones dirigidas al desarrollo y consolidación de la infraestructura verde para la renaturalización y resiliencia de ciudades españolas correspondiente al año 2024 cofinanciada por el Fondo Europeo de Desarrollo Regional (FEDER)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D8" w:rsidRDefault="008039D8" w:rsidP="001F1DAE">
    <w:pPr>
      <w:pStyle w:val="Encabezado"/>
      <w:jc w:val="center"/>
      <w:rPr>
        <w:rFonts w:ascii="Calibri" w:eastAsia="Times New Roman" w:hAnsi="Calibri" w:cs="Calibri"/>
        <w:b/>
        <w:bCs/>
        <w:color w:val="006666"/>
        <w:sz w:val="32"/>
        <w:szCs w:val="30"/>
        <w:lang w:eastAsia="es-ES"/>
      </w:rPr>
    </w:pPr>
    <w:r>
      <w:rPr>
        <w:noProof/>
        <w:lang w:eastAsia="es-ES"/>
      </w:rPr>
      <w:drawing>
        <wp:inline distT="0" distB="0" distL="0" distR="0">
          <wp:extent cx="6523720" cy="344862"/>
          <wp:effectExtent l="0" t="0" r="0" b="0"/>
          <wp:docPr id="2406550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3525" cy="34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9D8" w:rsidRDefault="008039D8" w:rsidP="009B3719">
    <w:pPr>
      <w:spacing w:after="0"/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</w:p>
  <w:p w:rsidR="008039D8" w:rsidRPr="009B3719" w:rsidRDefault="008039D8" w:rsidP="009B3719">
    <w:pPr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>Convocatoria de subvenciones de la Fundación Biodiversidad F.S.P., en régimen de concurrencia competitiva, para el fomento de actuaciones dirigidas al desarrollo y consolidación de la infraestructura verde para la renaturalización y resiliencia de ciudades españolas correspondiente al año 2024 cofinanciada por el Fondo Europeo de Desarrollo Regional (FEDER)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385"/>
    <w:multiLevelType w:val="hybridMultilevel"/>
    <w:tmpl w:val="A5588C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2846"/>
    <w:multiLevelType w:val="hybridMultilevel"/>
    <w:tmpl w:val="8E92FE1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14765"/>
    <w:multiLevelType w:val="hybridMultilevel"/>
    <w:tmpl w:val="5A6C7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86A01"/>
    <w:multiLevelType w:val="hybridMultilevel"/>
    <w:tmpl w:val="871232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F4B65"/>
    <w:multiLevelType w:val="hybridMultilevel"/>
    <w:tmpl w:val="2C90D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B1CA2"/>
    <w:multiLevelType w:val="hybridMultilevel"/>
    <w:tmpl w:val="6D12D9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22F23"/>
    <w:multiLevelType w:val="hybridMultilevel"/>
    <w:tmpl w:val="521EAA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B11AA"/>
    <w:multiLevelType w:val="hybridMultilevel"/>
    <w:tmpl w:val="A4C0C8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B481D"/>
    <w:multiLevelType w:val="hybridMultilevel"/>
    <w:tmpl w:val="BC4A06FA"/>
    <w:lvl w:ilvl="0" w:tplc="8C587F1C">
      <w:start w:val="2"/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9">
    <w:nsid w:val="3A9C2C6A"/>
    <w:multiLevelType w:val="hybridMultilevel"/>
    <w:tmpl w:val="F7922B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D226F"/>
    <w:multiLevelType w:val="hybridMultilevel"/>
    <w:tmpl w:val="8F16C91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FD478D"/>
    <w:multiLevelType w:val="hybridMultilevel"/>
    <w:tmpl w:val="579C54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96597"/>
    <w:multiLevelType w:val="hybridMultilevel"/>
    <w:tmpl w:val="0660FE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6483F"/>
    <w:multiLevelType w:val="hybridMultilevel"/>
    <w:tmpl w:val="6ACE0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E4DE3"/>
    <w:multiLevelType w:val="hybridMultilevel"/>
    <w:tmpl w:val="8E805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B593F"/>
    <w:multiLevelType w:val="hybridMultilevel"/>
    <w:tmpl w:val="FF201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F64B0"/>
    <w:multiLevelType w:val="hybridMultilevel"/>
    <w:tmpl w:val="80246966"/>
    <w:lvl w:ilvl="0" w:tplc="AB6820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A3E46"/>
    <w:multiLevelType w:val="hybridMultilevel"/>
    <w:tmpl w:val="BFAE23E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5F604F"/>
    <w:multiLevelType w:val="hybridMultilevel"/>
    <w:tmpl w:val="AE5A4C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111AC"/>
    <w:multiLevelType w:val="hybridMultilevel"/>
    <w:tmpl w:val="449A4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5"/>
  </w:num>
  <w:num w:numId="11">
    <w:abstractNumId w:val="18"/>
  </w:num>
  <w:num w:numId="12">
    <w:abstractNumId w:val="6"/>
  </w:num>
  <w:num w:numId="13">
    <w:abstractNumId w:val="3"/>
  </w:num>
  <w:num w:numId="14">
    <w:abstractNumId w:val="1"/>
  </w:num>
  <w:num w:numId="15">
    <w:abstractNumId w:val="14"/>
  </w:num>
  <w:num w:numId="16">
    <w:abstractNumId w:val="9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30E51"/>
    <w:rsid w:val="00000A7C"/>
    <w:rsid w:val="00007339"/>
    <w:rsid w:val="00010DDA"/>
    <w:rsid w:val="000116DC"/>
    <w:rsid w:val="000124B1"/>
    <w:rsid w:val="00013FAC"/>
    <w:rsid w:val="000151E7"/>
    <w:rsid w:val="00017F4A"/>
    <w:rsid w:val="00020C89"/>
    <w:rsid w:val="00021493"/>
    <w:rsid w:val="0002199F"/>
    <w:rsid w:val="00022358"/>
    <w:rsid w:val="00023BB1"/>
    <w:rsid w:val="00027C2C"/>
    <w:rsid w:val="000300AB"/>
    <w:rsid w:val="00030CCB"/>
    <w:rsid w:val="0003269D"/>
    <w:rsid w:val="00037640"/>
    <w:rsid w:val="000376C6"/>
    <w:rsid w:val="000403E7"/>
    <w:rsid w:val="000471DF"/>
    <w:rsid w:val="00047285"/>
    <w:rsid w:val="000476AC"/>
    <w:rsid w:val="000511E0"/>
    <w:rsid w:val="00051665"/>
    <w:rsid w:val="00053109"/>
    <w:rsid w:val="0005317D"/>
    <w:rsid w:val="000577BB"/>
    <w:rsid w:val="00060306"/>
    <w:rsid w:val="00063C36"/>
    <w:rsid w:val="00070783"/>
    <w:rsid w:val="00073E53"/>
    <w:rsid w:val="00076E25"/>
    <w:rsid w:val="00077960"/>
    <w:rsid w:val="00081BCA"/>
    <w:rsid w:val="00082824"/>
    <w:rsid w:val="000903DE"/>
    <w:rsid w:val="00091382"/>
    <w:rsid w:val="00096135"/>
    <w:rsid w:val="00097BAA"/>
    <w:rsid w:val="000A07F1"/>
    <w:rsid w:val="000A3670"/>
    <w:rsid w:val="000A4347"/>
    <w:rsid w:val="000A4595"/>
    <w:rsid w:val="000A5555"/>
    <w:rsid w:val="000A566B"/>
    <w:rsid w:val="000A6278"/>
    <w:rsid w:val="000A74F6"/>
    <w:rsid w:val="000B103D"/>
    <w:rsid w:val="000B2787"/>
    <w:rsid w:val="000B4191"/>
    <w:rsid w:val="000B4D7D"/>
    <w:rsid w:val="000B7A26"/>
    <w:rsid w:val="000C6307"/>
    <w:rsid w:val="000D179F"/>
    <w:rsid w:val="000D416D"/>
    <w:rsid w:val="000D7052"/>
    <w:rsid w:val="000D70EA"/>
    <w:rsid w:val="000E0333"/>
    <w:rsid w:val="000E3061"/>
    <w:rsid w:val="000E5A76"/>
    <w:rsid w:val="000F1467"/>
    <w:rsid w:val="001036A9"/>
    <w:rsid w:val="001049ED"/>
    <w:rsid w:val="00105B23"/>
    <w:rsid w:val="00105C98"/>
    <w:rsid w:val="00106EE0"/>
    <w:rsid w:val="00110CAD"/>
    <w:rsid w:val="00110D98"/>
    <w:rsid w:val="001113AA"/>
    <w:rsid w:val="00111E03"/>
    <w:rsid w:val="001127CC"/>
    <w:rsid w:val="00126ED5"/>
    <w:rsid w:val="00133FCB"/>
    <w:rsid w:val="0013437B"/>
    <w:rsid w:val="00136F70"/>
    <w:rsid w:val="00137DCE"/>
    <w:rsid w:val="001407AE"/>
    <w:rsid w:val="0014130B"/>
    <w:rsid w:val="00141D04"/>
    <w:rsid w:val="00143CFA"/>
    <w:rsid w:val="00146EAB"/>
    <w:rsid w:val="00153721"/>
    <w:rsid w:val="00160C47"/>
    <w:rsid w:val="00162453"/>
    <w:rsid w:val="00163F34"/>
    <w:rsid w:val="001652FC"/>
    <w:rsid w:val="00167B18"/>
    <w:rsid w:val="00167C59"/>
    <w:rsid w:val="00175179"/>
    <w:rsid w:val="001756F9"/>
    <w:rsid w:val="00175ABD"/>
    <w:rsid w:val="001764B6"/>
    <w:rsid w:val="001826AA"/>
    <w:rsid w:val="00182F98"/>
    <w:rsid w:val="0018420A"/>
    <w:rsid w:val="001864A1"/>
    <w:rsid w:val="00194A42"/>
    <w:rsid w:val="0019622C"/>
    <w:rsid w:val="001A67B8"/>
    <w:rsid w:val="001A7BD9"/>
    <w:rsid w:val="001B0210"/>
    <w:rsid w:val="001B19C2"/>
    <w:rsid w:val="001B1A4A"/>
    <w:rsid w:val="001B2A45"/>
    <w:rsid w:val="001B4349"/>
    <w:rsid w:val="001C046D"/>
    <w:rsid w:val="001C1653"/>
    <w:rsid w:val="001C3595"/>
    <w:rsid w:val="001C7DFC"/>
    <w:rsid w:val="001D04C4"/>
    <w:rsid w:val="001D15EB"/>
    <w:rsid w:val="001D23C7"/>
    <w:rsid w:val="001E2CC8"/>
    <w:rsid w:val="001E3286"/>
    <w:rsid w:val="001E67DD"/>
    <w:rsid w:val="001E69FF"/>
    <w:rsid w:val="001E7553"/>
    <w:rsid w:val="001F0A39"/>
    <w:rsid w:val="001F1DAE"/>
    <w:rsid w:val="001F3FC1"/>
    <w:rsid w:val="001F6CD2"/>
    <w:rsid w:val="001F73E3"/>
    <w:rsid w:val="00200617"/>
    <w:rsid w:val="002029B2"/>
    <w:rsid w:val="002035B5"/>
    <w:rsid w:val="00205F77"/>
    <w:rsid w:val="0020630B"/>
    <w:rsid w:val="00206F5E"/>
    <w:rsid w:val="00207ACD"/>
    <w:rsid w:val="002150FB"/>
    <w:rsid w:val="002219B2"/>
    <w:rsid w:val="00221EBD"/>
    <w:rsid w:val="002258D3"/>
    <w:rsid w:val="00234540"/>
    <w:rsid w:val="00242DE4"/>
    <w:rsid w:val="002436FD"/>
    <w:rsid w:val="00244A44"/>
    <w:rsid w:val="00246C61"/>
    <w:rsid w:val="00247D1B"/>
    <w:rsid w:val="00260766"/>
    <w:rsid w:val="00260859"/>
    <w:rsid w:val="00262399"/>
    <w:rsid w:val="0026436F"/>
    <w:rsid w:val="002645D0"/>
    <w:rsid w:val="0026502F"/>
    <w:rsid w:val="00265AAC"/>
    <w:rsid w:val="0026601C"/>
    <w:rsid w:val="00266FF7"/>
    <w:rsid w:val="00267B17"/>
    <w:rsid w:val="00270282"/>
    <w:rsid w:val="00270C97"/>
    <w:rsid w:val="0027505A"/>
    <w:rsid w:val="002758C6"/>
    <w:rsid w:val="00283AA2"/>
    <w:rsid w:val="00293E46"/>
    <w:rsid w:val="00295237"/>
    <w:rsid w:val="0029551E"/>
    <w:rsid w:val="002A0EA8"/>
    <w:rsid w:val="002A2DDF"/>
    <w:rsid w:val="002A424F"/>
    <w:rsid w:val="002B33BF"/>
    <w:rsid w:val="002B41DD"/>
    <w:rsid w:val="002B4EAF"/>
    <w:rsid w:val="002B504B"/>
    <w:rsid w:val="002B7BF5"/>
    <w:rsid w:val="002C2C11"/>
    <w:rsid w:val="002C2C80"/>
    <w:rsid w:val="002C520D"/>
    <w:rsid w:val="002D38BD"/>
    <w:rsid w:val="002D5BF1"/>
    <w:rsid w:val="002E0EE2"/>
    <w:rsid w:val="002E1B68"/>
    <w:rsid w:val="002E3818"/>
    <w:rsid w:val="002E4244"/>
    <w:rsid w:val="002E6EF5"/>
    <w:rsid w:val="002E777B"/>
    <w:rsid w:val="002E7F10"/>
    <w:rsid w:val="00300A41"/>
    <w:rsid w:val="00301A6E"/>
    <w:rsid w:val="00302F7A"/>
    <w:rsid w:val="00312D49"/>
    <w:rsid w:val="00315B8B"/>
    <w:rsid w:val="00317627"/>
    <w:rsid w:val="003179A3"/>
    <w:rsid w:val="00320275"/>
    <w:rsid w:val="00320B9B"/>
    <w:rsid w:val="00324E92"/>
    <w:rsid w:val="00326F29"/>
    <w:rsid w:val="00327AE0"/>
    <w:rsid w:val="00327EC5"/>
    <w:rsid w:val="00334D58"/>
    <w:rsid w:val="003410C9"/>
    <w:rsid w:val="00342BF9"/>
    <w:rsid w:val="003431C1"/>
    <w:rsid w:val="003470E4"/>
    <w:rsid w:val="003506B5"/>
    <w:rsid w:val="00353162"/>
    <w:rsid w:val="003537EA"/>
    <w:rsid w:val="00353B6C"/>
    <w:rsid w:val="003557C5"/>
    <w:rsid w:val="00355C42"/>
    <w:rsid w:val="00356149"/>
    <w:rsid w:val="00356F0E"/>
    <w:rsid w:val="00360BAE"/>
    <w:rsid w:val="00366B2C"/>
    <w:rsid w:val="00370232"/>
    <w:rsid w:val="00372771"/>
    <w:rsid w:val="00373DF8"/>
    <w:rsid w:val="00376B5A"/>
    <w:rsid w:val="00377BDC"/>
    <w:rsid w:val="003839F8"/>
    <w:rsid w:val="00384F96"/>
    <w:rsid w:val="00385EE4"/>
    <w:rsid w:val="00392498"/>
    <w:rsid w:val="0039604B"/>
    <w:rsid w:val="00396904"/>
    <w:rsid w:val="003A1A71"/>
    <w:rsid w:val="003A33C2"/>
    <w:rsid w:val="003A4638"/>
    <w:rsid w:val="003A6CA4"/>
    <w:rsid w:val="003B23E4"/>
    <w:rsid w:val="003B24B0"/>
    <w:rsid w:val="003B274A"/>
    <w:rsid w:val="003C02BF"/>
    <w:rsid w:val="003C1FB4"/>
    <w:rsid w:val="003C5690"/>
    <w:rsid w:val="003C60F7"/>
    <w:rsid w:val="003D0A91"/>
    <w:rsid w:val="003D172D"/>
    <w:rsid w:val="003D2069"/>
    <w:rsid w:val="003D46D3"/>
    <w:rsid w:val="003D565A"/>
    <w:rsid w:val="003D76BE"/>
    <w:rsid w:val="003D7E6D"/>
    <w:rsid w:val="003E2321"/>
    <w:rsid w:val="003E24BC"/>
    <w:rsid w:val="003E425A"/>
    <w:rsid w:val="003E5F70"/>
    <w:rsid w:val="003F678D"/>
    <w:rsid w:val="003F6D46"/>
    <w:rsid w:val="00401089"/>
    <w:rsid w:val="00401ACF"/>
    <w:rsid w:val="00403642"/>
    <w:rsid w:val="00404EA4"/>
    <w:rsid w:val="00411FE2"/>
    <w:rsid w:val="00412FD9"/>
    <w:rsid w:val="0041474B"/>
    <w:rsid w:val="004173AD"/>
    <w:rsid w:val="00420184"/>
    <w:rsid w:val="004206BB"/>
    <w:rsid w:val="0042118C"/>
    <w:rsid w:val="00427AB3"/>
    <w:rsid w:val="00433547"/>
    <w:rsid w:val="00440946"/>
    <w:rsid w:val="00446E6C"/>
    <w:rsid w:val="004503EC"/>
    <w:rsid w:val="00451E7C"/>
    <w:rsid w:val="004529E6"/>
    <w:rsid w:val="004532F3"/>
    <w:rsid w:val="004538EB"/>
    <w:rsid w:val="004545B1"/>
    <w:rsid w:val="004546E8"/>
    <w:rsid w:val="004551F7"/>
    <w:rsid w:val="0045584A"/>
    <w:rsid w:val="00461D12"/>
    <w:rsid w:val="0047101E"/>
    <w:rsid w:val="00471599"/>
    <w:rsid w:val="004759C1"/>
    <w:rsid w:val="0047689E"/>
    <w:rsid w:val="00476B65"/>
    <w:rsid w:val="00477A25"/>
    <w:rsid w:val="00480C96"/>
    <w:rsid w:val="00487D14"/>
    <w:rsid w:val="004925D6"/>
    <w:rsid w:val="004952F7"/>
    <w:rsid w:val="00495962"/>
    <w:rsid w:val="00496A9E"/>
    <w:rsid w:val="00497556"/>
    <w:rsid w:val="00497880"/>
    <w:rsid w:val="004A101B"/>
    <w:rsid w:val="004A1B88"/>
    <w:rsid w:val="004A2D48"/>
    <w:rsid w:val="004A37ED"/>
    <w:rsid w:val="004A3AE4"/>
    <w:rsid w:val="004A4632"/>
    <w:rsid w:val="004A5145"/>
    <w:rsid w:val="004B3E94"/>
    <w:rsid w:val="004B5D81"/>
    <w:rsid w:val="004B5DDF"/>
    <w:rsid w:val="004B6B1D"/>
    <w:rsid w:val="004C0CAC"/>
    <w:rsid w:val="004C1524"/>
    <w:rsid w:val="004C2E1F"/>
    <w:rsid w:val="004C6BB6"/>
    <w:rsid w:val="004C6DF9"/>
    <w:rsid w:val="004C7C1B"/>
    <w:rsid w:val="004D1755"/>
    <w:rsid w:val="004D6810"/>
    <w:rsid w:val="004D6A96"/>
    <w:rsid w:val="004E117F"/>
    <w:rsid w:val="004E39CA"/>
    <w:rsid w:val="004E3E6A"/>
    <w:rsid w:val="004E62AA"/>
    <w:rsid w:val="004E7739"/>
    <w:rsid w:val="004E7D0E"/>
    <w:rsid w:val="004F0421"/>
    <w:rsid w:val="004F1C55"/>
    <w:rsid w:val="004F204C"/>
    <w:rsid w:val="004F53D8"/>
    <w:rsid w:val="00500DD9"/>
    <w:rsid w:val="00501551"/>
    <w:rsid w:val="00502966"/>
    <w:rsid w:val="0050603F"/>
    <w:rsid w:val="00506E3F"/>
    <w:rsid w:val="005103C9"/>
    <w:rsid w:val="00511223"/>
    <w:rsid w:val="00511323"/>
    <w:rsid w:val="00512151"/>
    <w:rsid w:val="005170E3"/>
    <w:rsid w:val="005175BB"/>
    <w:rsid w:val="00517854"/>
    <w:rsid w:val="00520A9A"/>
    <w:rsid w:val="0052163C"/>
    <w:rsid w:val="00522C23"/>
    <w:rsid w:val="0054217C"/>
    <w:rsid w:val="005427DF"/>
    <w:rsid w:val="00547ED4"/>
    <w:rsid w:val="005541C1"/>
    <w:rsid w:val="00554742"/>
    <w:rsid w:val="00555238"/>
    <w:rsid w:val="00560D82"/>
    <w:rsid w:val="00560DC8"/>
    <w:rsid w:val="005613F7"/>
    <w:rsid w:val="00563A09"/>
    <w:rsid w:val="00564A9C"/>
    <w:rsid w:val="005657C8"/>
    <w:rsid w:val="00565A17"/>
    <w:rsid w:val="0056679F"/>
    <w:rsid w:val="00580E98"/>
    <w:rsid w:val="00581CB8"/>
    <w:rsid w:val="005833E1"/>
    <w:rsid w:val="00584D46"/>
    <w:rsid w:val="00585BC6"/>
    <w:rsid w:val="00587235"/>
    <w:rsid w:val="00590B49"/>
    <w:rsid w:val="005953DA"/>
    <w:rsid w:val="005970D4"/>
    <w:rsid w:val="00597AEA"/>
    <w:rsid w:val="005A1B3F"/>
    <w:rsid w:val="005A3C4E"/>
    <w:rsid w:val="005A78F8"/>
    <w:rsid w:val="005B24D8"/>
    <w:rsid w:val="005B59A5"/>
    <w:rsid w:val="005C1798"/>
    <w:rsid w:val="005C6A4C"/>
    <w:rsid w:val="005C72FF"/>
    <w:rsid w:val="005D0C9A"/>
    <w:rsid w:val="005D1E29"/>
    <w:rsid w:val="005D31B0"/>
    <w:rsid w:val="005D3EEC"/>
    <w:rsid w:val="005D48B9"/>
    <w:rsid w:val="005E2A98"/>
    <w:rsid w:val="005E62A9"/>
    <w:rsid w:val="005E702F"/>
    <w:rsid w:val="005F2C15"/>
    <w:rsid w:val="005F4DFB"/>
    <w:rsid w:val="005F5FA8"/>
    <w:rsid w:val="005F7914"/>
    <w:rsid w:val="005F7BCE"/>
    <w:rsid w:val="006003C9"/>
    <w:rsid w:val="00600FC5"/>
    <w:rsid w:val="00610727"/>
    <w:rsid w:val="00610969"/>
    <w:rsid w:val="00614669"/>
    <w:rsid w:val="00615EE4"/>
    <w:rsid w:val="00617507"/>
    <w:rsid w:val="00624A76"/>
    <w:rsid w:val="00626369"/>
    <w:rsid w:val="00631715"/>
    <w:rsid w:val="00632F6F"/>
    <w:rsid w:val="006333A5"/>
    <w:rsid w:val="006344E5"/>
    <w:rsid w:val="00635062"/>
    <w:rsid w:val="006364DB"/>
    <w:rsid w:val="00637A25"/>
    <w:rsid w:val="00641AF8"/>
    <w:rsid w:val="00641DC8"/>
    <w:rsid w:val="006429EF"/>
    <w:rsid w:val="00642BCB"/>
    <w:rsid w:val="006430B7"/>
    <w:rsid w:val="006435F0"/>
    <w:rsid w:val="006570B7"/>
    <w:rsid w:val="00657BA5"/>
    <w:rsid w:val="00660A29"/>
    <w:rsid w:val="006649EA"/>
    <w:rsid w:val="00666A00"/>
    <w:rsid w:val="00673458"/>
    <w:rsid w:val="00673655"/>
    <w:rsid w:val="006738E6"/>
    <w:rsid w:val="00676040"/>
    <w:rsid w:val="00676A93"/>
    <w:rsid w:val="00676C18"/>
    <w:rsid w:val="00676C27"/>
    <w:rsid w:val="006821DB"/>
    <w:rsid w:val="006848D3"/>
    <w:rsid w:val="00696443"/>
    <w:rsid w:val="00697045"/>
    <w:rsid w:val="006971C4"/>
    <w:rsid w:val="006A025F"/>
    <w:rsid w:val="006A23BE"/>
    <w:rsid w:val="006A27CA"/>
    <w:rsid w:val="006A55DB"/>
    <w:rsid w:val="006B29FF"/>
    <w:rsid w:val="006C20EA"/>
    <w:rsid w:val="006D001C"/>
    <w:rsid w:val="006D1E31"/>
    <w:rsid w:val="006D688E"/>
    <w:rsid w:val="006E1F30"/>
    <w:rsid w:val="006E290D"/>
    <w:rsid w:val="006E2B53"/>
    <w:rsid w:val="006E327E"/>
    <w:rsid w:val="006E3B3A"/>
    <w:rsid w:val="006E42B5"/>
    <w:rsid w:val="006E6F17"/>
    <w:rsid w:val="006E74E2"/>
    <w:rsid w:val="006F12B1"/>
    <w:rsid w:val="006F188F"/>
    <w:rsid w:val="006F1A47"/>
    <w:rsid w:val="006F5C64"/>
    <w:rsid w:val="0070040C"/>
    <w:rsid w:val="0070345E"/>
    <w:rsid w:val="0070679D"/>
    <w:rsid w:val="0071693F"/>
    <w:rsid w:val="00721A22"/>
    <w:rsid w:val="00721D3F"/>
    <w:rsid w:val="007257F2"/>
    <w:rsid w:val="00730ED1"/>
    <w:rsid w:val="0073394A"/>
    <w:rsid w:val="0073409E"/>
    <w:rsid w:val="007344C3"/>
    <w:rsid w:val="007425B6"/>
    <w:rsid w:val="00761DE6"/>
    <w:rsid w:val="00762658"/>
    <w:rsid w:val="00764095"/>
    <w:rsid w:val="00764185"/>
    <w:rsid w:val="00764B23"/>
    <w:rsid w:val="00774539"/>
    <w:rsid w:val="007746FF"/>
    <w:rsid w:val="00775946"/>
    <w:rsid w:val="00775ABD"/>
    <w:rsid w:val="00775D16"/>
    <w:rsid w:val="007834D8"/>
    <w:rsid w:val="007834DD"/>
    <w:rsid w:val="00785918"/>
    <w:rsid w:val="007864B1"/>
    <w:rsid w:val="0079068D"/>
    <w:rsid w:val="00791C2E"/>
    <w:rsid w:val="00791DE3"/>
    <w:rsid w:val="0079463E"/>
    <w:rsid w:val="0079550D"/>
    <w:rsid w:val="00795F7C"/>
    <w:rsid w:val="00796AA6"/>
    <w:rsid w:val="007A1976"/>
    <w:rsid w:val="007A1E79"/>
    <w:rsid w:val="007A2109"/>
    <w:rsid w:val="007A2E15"/>
    <w:rsid w:val="007A5D2E"/>
    <w:rsid w:val="007A738F"/>
    <w:rsid w:val="007B0400"/>
    <w:rsid w:val="007B082D"/>
    <w:rsid w:val="007B0A27"/>
    <w:rsid w:val="007B6F6E"/>
    <w:rsid w:val="007B7C6F"/>
    <w:rsid w:val="007C1334"/>
    <w:rsid w:val="007C2C72"/>
    <w:rsid w:val="007C6CBF"/>
    <w:rsid w:val="007D1DA8"/>
    <w:rsid w:val="007D2408"/>
    <w:rsid w:val="007D4376"/>
    <w:rsid w:val="007D570D"/>
    <w:rsid w:val="007D659B"/>
    <w:rsid w:val="007D6B48"/>
    <w:rsid w:val="007D7C83"/>
    <w:rsid w:val="007D7EDE"/>
    <w:rsid w:val="007E218D"/>
    <w:rsid w:val="007E32A7"/>
    <w:rsid w:val="007E614B"/>
    <w:rsid w:val="007E6BF6"/>
    <w:rsid w:val="007E7DAA"/>
    <w:rsid w:val="007E7DAE"/>
    <w:rsid w:val="007F02EC"/>
    <w:rsid w:val="007F1746"/>
    <w:rsid w:val="007F17A9"/>
    <w:rsid w:val="007F2A4C"/>
    <w:rsid w:val="007F5E2E"/>
    <w:rsid w:val="007F7F6F"/>
    <w:rsid w:val="00802356"/>
    <w:rsid w:val="008039D8"/>
    <w:rsid w:val="00815459"/>
    <w:rsid w:val="0081756D"/>
    <w:rsid w:val="00820F70"/>
    <w:rsid w:val="00825384"/>
    <w:rsid w:val="008268E6"/>
    <w:rsid w:val="00827184"/>
    <w:rsid w:val="00830734"/>
    <w:rsid w:val="008324D6"/>
    <w:rsid w:val="0083277D"/>
    <w:rsid w:val="008351AD"/>
    <w:rsid w:val="00841D40"/>
    <w:rsid w:val="00842ADD"/>
    <w:rsid w:val="00844DAF"/>
    <w:rsid w:val="008453F6"/>
    <w:rsid w:val="0084547C"/>
    <w:rsid w:val="008461EB"/>
    <w:rsid w:val="00851CCB"/>
    <w:rsid w:val="00852524"/>
    <w:rsid w:val="008562F7"/>
    <w:rsid w:val="008564D9"/>
    <w:rsid w:val="00857A31"/>
    <w:rsid w:val="00862A08"/>
    <w:rsid w:val="00863535"/>
    <w:rsid w:val="00864C3E"/>
    <w:rsid w:val="00865013"/>
    <w:rsid w:val="008657D7"/>
    <w:rsid w:val="008666A3"/>
    <w:rsid w:val="0087295D"/>
    <w:rsid w:val="00873B9D"/>
    <w:rsid w:val="00874681"/>
    <w:rsid w:val="0087692A"/>
    <w:rsid w:val="00877687"/>
    <w:rsid w:val="008803C7"/>
    <w:rsid w:val="008811AA"/>
    <w:rsid w:val="0088378A"/>
    <w:rsid w:val="0088554B"/>
    <w:rsid w:val="008856CA"/>
    <w:rsid w:val="00885D14"/>
    <w:rsid w:val="0089085D"/>
    <w:rsid w:val="0089094E"/>
    <w:rsid w:val="008928CA"/>
    <w:rsid w:val="0089315C"/>
    <w:rsid w:val="00893518"/>
    <w:rsid w:val="00894CBC"/>
    <w:rsid w:val="008A2ADA"/>
    <w:rsid w:val="008A5201"/>
    <w:rsid w:val="008A69A8"/>
    <w:rsid w:val="008A6E1F"/>
    <w:rsid w:val="008A7416"/>
    <w:rsid w:val="008B1EEE"/>
    <w:rsid w:val="008B3509"/>
    <w:rsid w:val="008B36B6"/>
    <w:rsid w:val="008B441C"/>
    <w:rsid w:val="008C197F"/>
    <w:rsid w:val="008C294D"/>
    <w:rsid w:val="008C3BE9"/>
    <w:rsid w:val="008C70BB"/>
    <w:rsid w:val="008D0A3B"/>
    <w:rsid w:val="008D1BB8"/>
    <w:rsid w:val="008D280D"/>
    <w:rsid w:val="008D45A9"/>
    <w:rsid w:val="008D49B2"/>
    <w:rsid w:val="008D5892"/>
    <w:rsid w:val="008E098C"/>
    <w:rsid w:val="008E0FBB"/>
    <w:rsid w:val="008E128D"/>
    <w:rsid w:val="008E1DDD"/>
    <w:rsid w:val="008E3409"/>
    <w:rsid w:val="008E60B3"/>
    <w:rsid w:val="008F0D48"/>
    <w:rsid w:val="008F2176"/>
    <w:rsid w:val="00900F07"/>
    <w:rsid w:val="00902E6E"/>
    <w:rsid w:val="009041E8"/>
    <w:rsid w:val="00904BAB"/>
    <w:rsid w:val="00905826"/>
    <w:rsid w:val="009117C1"/>
    <w:rsid w:val="0091344D"/>
    <w:rsid w:val="0091351C"/>
    <w:rsid w:val="00922D80"/>
    <w:rsid w:val="009266F5"/>
    <w:rsid w:val="00927EEB"/>
    <w:rsid w:val="0093042E"/>
    <w:rsid w:val="00930B6E"/>
    <w:rsid w:val="00934253"/>
    <w:rsid w:val="00934FB3"/>
    <w:rsid w:val="0093722D"/>
    <w:rsid w:val="0094188B"/>
    <w:rsid w:val="0094276D"/>
    <w:rsid w:val="00943123"/>
    <w:rsid w:val="00945104"/>
    <w:rsid w:val="00946165"/>
    <w:rsid w:val="009465BA"/>
    <w:rsid w:val="00947AD0"/>
    <w:rsid w:val="00951087"/>
    <w:rsid w:val="0095420C"/>
    <w:rsid w:val="00956881"/>
    <w:rsid w:val="00961F5E"/>
    <w:rsid w:val="009632D5"/>
    <w:rsid w:val="00964AA5"/>
    <w:rsid w:val="00965433"/>
    <w:rsid w:val="00976E53"/>
    <w:rsid w:val="00983166"/>
    <w:rsid w:val="009852A9"/>
    <w:rsid w:val="009858DF"/>
    <w:rsid w:val="00986D04"/>
    <w:rsid w:val="00990879"/>
    <w:rsid w:val="00991739"/>
    <w:rsid w:val="0099360C"/>
    <w:rsid w:val="00994F99"/>
    <w:rsid w:val="009A0459"/>
    <w:rsid w:val="009A58E5"/>
    <w:rsid w:val="009A6853"/>
    <w:rsid w:val="009A7F9B"/>
    <w:rsid w:val="009B1FAC"/>
    <w:rsid w:val="009B2C3D"/>
    <w:rsid w:val="009B3719"/>
    <w:rsid w:val="009B454A"/>
    <w:rsid w:val="009B7E59"/>
    <w:rsid w:val="009C21A3"/>
    <w:rsid w:val="009C22A3"/>
    <w:rsid w:val="009C5685"/>
    <w:rsid w:val="009C5DA0"/>
    <w:rsid w:val="009C5E3C"/>
    <w:rsid w:val="009D04A8"/>
    <w:rsid w:val="009D1796"/>
    <w:rsid w:val="009D180C"/>
    <w:rsid w:val="009D2CAF"/>
    <w:rsid w:val="009D2D30"/>
    <w:rsid w:val="009D4BDE"/>
    <w:rsid w:val="009D7B72"/>
    <w:rsid w:val="009E2396"/>
    <w:rsid w:val="009E414F"/>
    <w:rsid w:val="009E46D3"/>
    <w:rsid w:val="009F02E3"/>
    <w:rsid w:val="009F0965"/>
    <w:rsid w:val="009F6254"/>
    <w:rsid w:val="009F6749"/>
    <w:rsid w:val="00A02D3F"/>
    <w:rsid w:val="00A0348B"/>
    <w:rsid w:val="00A04D88"/>
    <w:rsid w:val="00A0568C"/>
    <w:rsid w:val="00A060FB"/>
    <w:rsid w:val="00A10972"/>
    <w:rsid w:val="00A10E6A"/>
    <w:rsid w:val="00A11573"/>
    <w:rsid w:val="00A12FC2"/>
    <w:rsid w:val="00A132D7"/>
    <w:rsid w:val="00A16DE6"/>
    <w:rsid w:val="00A22055"/>
    <w:rsid w:val="00A2479C"/>
    <w:rsid w:val="00A30E51"/>
    <w:rsid w:val="00A334DF"/>
    <w:rsid w:val="00A37AD8"/>
    <w:rsid w:val="00A41343"/>
    <w:rsid w:val="00A414DD"/>
    <w:rsid w:val="00A419B2"/>
    <w:rsid w:val="00A42BCC"/>
    <w:rsid w:val="00A43438"/>
    <w:rsid w:val="00A43851"/>
    <w:rsid w:val="00A43C09"/>
    <w:rsid w:val="00A440EB"/>
    <w:rsid w:val="00A44FE5"/>
    <w:rsid w:val="00A468B9"/>
    <w:rsid w:val="00A46A5A"/>
    <w:rsid w:val="00A520E6"/>
    <w:rsid w:val="00A53D86"/>
    <w:rsid w:val="00A53E6A"/>
    <w:rsid w:val="00A545A6"/>
    <w:rsid w:val="00A63571"/>
    <w:rsid w:val="00A6530F"/>
    <w:rsid w:val="00A66145"/>
    <w:rsid w:val="00A67584"/>
    <w:rsid w:val="00A70F9B"/>
    <w:rsid w:val="00A71AD8"/>
    <w:rsid w:val="00A71FC2"/>
    <w:rsid w:val="00A72560"/>
    <w:rsid w:val="00A7497C"/>
    <w:rsid w:val="00A75B6F"/>
    <w:rsid w:val="00A76401"/>
    <w:rsid w:val="00A76E54"/>
    <w:rsid w:val="00A801EB"/>
    <w:rsid w:val="00A81909"/>
    <w:rsid w:val="00A826FA"/>
    <w:rsid w:val="00A8425D"/>
    <w:rsid w:val="00A852F7"/>
    <w:rsid w:val="00A8600C"/>
    <w:rsid w:val="00A868A4"/>
    <w:rsid w:val="00A868B9"/>
    <w:rsid w:val="00A93B9B"/>
    <w:rsid w:val="00A95D90"/>
    <w:rsid w:val="00AA278E"/>
    <w:rsid w:val="00AA27B7"/>
    <w:rsid w:val="00AA3A86"/>
    <w:rsid w:val="00AB04C7"/>
    <w:rsid w:val="00AB1CCA"/>
    <w:rsid w:val="00AB3789"/>
    <w:rsid w:val="00AB3CB4"/>
    <w:rsid w:val="00AB3F69"/>
    <w:rsid w:val="00AB4585"/>
    <w:rsid w:val="00AB6DD8"/>
    <w:rsid w:val="00AC011C"/>
    <w:rsid w:val="00AC1855"/>
    <w:rsid w:val="00AC1E78"/>
    <w:rsid w:val="00AC2D9D"/>
    <w:rsid w:val="00AC34DC"/>
    <w:rsid w:val="00AC49E6"/>
    <w:rsid w:val="00AC5243"/>
    <w:rsid w:val="00AC60C0"/>
    <w:rsid w:val="00AD0B24"/>
    <w:rsid w:val="00AD0B88"/>
    <w:rsid w:val="00AD1599"/>
    <w:rsid w:val="00AD244B"/>
    <w:rsid w:val="00AD5CB1"/>
    <w:rsid w:val="00AE0767"/>
    <w:rsid w:val="00AE65C5"/>
    <w:rsid w:val="00AF277A"/>
    <w:rsid w:val="00AF7F44"/>
    <w:rsid w:val="00B050AF"/>
    <w:rsid w:val="00B0764D"/>
    <w:rsid w:val="00B10EA5"/>
    <w:rsid w:val="00B1178B"/>
    <w:rsid w:val="00B11CEB"/>
    <w:rsid w:val="00B129A9"/>
    <w:rsid w:val="00B13687"/>
    <w:rsid w:val="00B13AD4"/>
    <w:rsid w:val="00B1706E"/>
    <w:rsid w:val="00B24947"/>
    <w:rsid w:val="00B25A2A"/>
    <w:rsid w:val="00B26DB5"/>
    <w:rsid w:val="00B27A07"/>
    <w:rsid w:val="00B3017A"/>
    <w:rsid w:val="00B32860"/>
    <w:rsid w:val="00B33B3D"/>
    <w:rsid w:val="00B35FAC"/>
    <w:rsid w:val="00B41E7E"/>
    <w:rsid w:val="00B425BC"/>
    <w:rsid w:val="00B46763"/>
    <w:rsid w:val="00B47DE9"/>
    <w:rsid w:val="00B5009D"/>
    <w:rsid w:val="00B57726"/>
    <w:rsid w:val="00B61D31"/>
    <w:rsid w:val="00B63574"/>
    <w:rsid w:val="00B63E2B"/>
    <w:rsid w:val="00B6404D"/>
    <w:rsid w:val="00B647A4"/>
    <w:rsid w:val="00B71A22"/>
    <w:rsid w:val="00B76A73"/>
    <w:rsid w:val="00B76DAB"/>
    <w:rsid w:val="00B8089F"/>
    <w:rsid w:val="00B861A2"/>
    <w:rsid w:val="00B9304C"/>
    <w:rsid w:val="00B957B6"/>
    <w:rsid w:val="00B96153"/>
    <w:rsid w:val="00B97E38"/>
    <w:rsid w:val="00BA0521"/>
    <w:rsid w:val="00BA10F3"/>
    <w:rsid w:val="00BA220E"/>
    <w:rsid w:val="00BA7D8A"/>
    <w:rsid w:val="00BB0882"/>
    <w:rsid w:val="00BB64D0"/>
    <w:rsid w:val="00BB74D5"/>
    <w:rsid w:val="00BC1B0D"/>
    <w:rsid w:val="00BC2F42"/>
    <w:rsid w:val="00BC35B1"/>
    <w:rsid w:val="00BC36B9"/>
    <w:rsid w:val="00BC7818"/>
    <w:rsid w:val="00BD0214"/>
    <w:rsid w:val="00BD1E30"/>
    <w:rsid w:val="00BD2708"/>
    <w:rsid w:val="00BD2B0F"/>
    <w:rsid w:val="00BD2C5F"/>
    <w:rsid w:val="00BE1746"/>
    <w:rsid w:val="00BE1F9F"/>
    <w:rsid w:val="00BE3C0F"/>
    <w:rsid w:val="00BE4AD0"/>
    <w:rsid w:val="00BE5044"/>
    <w:rsid w:val="00BE5248"/>
    <w:rsid w:val="00BE574C"/>
    <w:rsid w:val="00BE6AE6"/>
    <w:rsid w:val="00BE6B05"/>
    <w:rsid w:val="00BE7AD1"/>
    <w:rsid w:val="00BF2409"/>
    <w:rsid w:val="00BF34A5"/>
    <w:rsid w:val="00BF4B6C"/>
    <w:rsid w:val="00BF5593"/>
    <w:rsid w:val="00C03D5D"/>
    <w:rsid w:val="00C04930"/>
    <w:rsid w:val="00C04CF6"/>
    <w:rsid w:val="00C062CE"/>
    <w:rsid w:val="00C140FC"/>
    <w:rsid w:val="00C1510C"/>
    <w:rsid w:val="00C2224A"/>
    <w:rsid w:val="00C258B8"/>
    <w:rsid w:val="00C303F2"/>
    <w:rsid w:val="00C32891"/>
    <w:rsid w:val="00C3771A"/>
    <w:rsid w:val="00C44445"/>
    <w:rsid w:val="00C45517"/>
    <w:rsid w:val="00C45664"/>
    <w:rsid w:val="00C474CB"/>
    <w:rsid w:val="00C51A34"/>
    <w:rsid w:val="00C53784"/>
    <w:rsid w:val="00C5634D"/>
    <w:rsid w:val="00C56D5A"/>
    <w:rsid w:val="00C61250"/>
    <w:rsid w:val="00C657C0"/>
    <w:rsid w:val="00C66320"/>
    <w:rsid w:val="00C71781"/>
    <w:rsid w:val="00C750B4"/>
    <w:rsid w:val="00C81694"/>
    <w:rsid w:val="00C82F8D"/>
    <w:rsid w:val="00C84588"/>
    <w:rsid w:val="00C9322B"/>
    <w:rsid w:val="00C95C5F"/>
    <w:rsid w:val="00CA0BB0"/>
    <w:rsid w:val="00CA19DB"/>
    <w:rsid w:val="00CA1C87"/>
    <w:rsid w:val="00CA2F50"/>
    <w:rsid w:val="00CA4AA2"/>
    <w:rsid w:val="00CA5023"/>
    <w:rsid w:val="00CB0437"/>
    <w:rsid w:val="00CB75D8"/>
    <w:rsid w:val="00CC2875"/>
    <w:rsid w:val="00CC38F0"/>
    <w:rsid w:val="00CC5193"/>
    <w:rsid w:val="00CC54BA"/>
    <w:rsid w:val="00CC5A7F"/>
    <w:rsid w:val="00CC68E4"/>
    <w:rsid w:val="00CC77BA"/>
    <w:rsid w:val="00CD01CF"/>
    <w:rsid w:val="00CD0979"/>
    <w:rsid w:val="00CD14D8"/>
    <w:rsid w:val="00CD335C"/>
    <w:rsid w:val="00CD465D"/>
    <w:rsid w:val="00CD613C"/>
    <w:rsid w:val="00CE31DC"/>
    <w:rsid w:val="00CE3459"/>
    <w:rsid w:val="00CE482B"/>
    <w:rsid w:val="00CE683B"/>
    <w:rsid w:val="00CE7C5B"/>
    <w:rsid w:val="00CF4DA6"/>
    <w:rsid w:val="00CF7654"/>
    <w:rsid w:val="00D00B63"/>
    <w:rsid w:val="00D01336"/>
    <w:rsid w:val="00D01EAF"/>
    <w:rsid w:val="00D029B8"/>
    <w:rsid w:val="00D04A8D"/>
    <w:rsid w:val="00D07FBF"/>
    <w:rsid w:val="00D1255B"/>
    <w:rsid w:val="00D12B99"/>
    <w:rsid w:val="00D13CFC"/>
    <w:rsid w:val="00D211D8"/>
    <w:rsid w:val="00D23A1B"/>
    <w:rsid w:val="00D2594B"/>
    <w:rsid w:val="00D2659F"/>
    <w:rsid w:val="00D26B14"/>
    <w:rsid w:val="00D26EFC"/>
    <w:rsid w:val="00D27C2F"/>
    <w:rsid w:val="00D326C6"/>
    <w:rsid w:val="00D3416A"/>
    <w:rsid w:val="00D341AC"/>
    <w:rsid w:val="00D36DF9"/>
    <w:rsid w:val="00D402D2"/>
    <w:rsid w:val="00D44244"/>
    <w:rsid w:val="00D44F62"/>
    <w:rsid w:val="00D47BD9"/>
    <w:rsid w:val="00D50754"/>
    <w:rsid w:val="00D52BB6"/>
    <w:rsid w:val="00D52E4A"/>
    <w:rsid w:val="00D5597F"/>
    <w:rsid w:val="00D630EB"/>
    <w:rsid w:val="00D639E0"/>
    <w:rsid w:val="00D64498"/>
    <w:rsid w:val="00D6607A"/>
    <w:rsid w:val="00D67343"/>
    <w:rsid w:val="00D6740A"/>
    <w:rsid w:val="00D7307B"/>
    <w:rsid w:val="00D7449B"/>
    <w:rsid w:val="00D74B2A"/>
    <w:rsid w:val="00D750B7"/>
    <w:rsid w:val="00D829E8"/>
    <w:rsid w:val="00D84776"/>
    <w:rsid w:val="00D90149"/>
    <w:rsid w:val="00D90982"/>
    <w:rsid w:val="00D9387C"/>
    <w:rsid w:val="00D96717"/>
    <w:rsid w:val="00D969CF"/>
    <w:rsid w:val="00DA020C"/>
    <w:rsid w:val="00DA109D"/>
    <w:rsid w:val="00DA1B04"/>
    <w:rsid w:val="00DA2216"/>
    <w:rsid w:val="00DA2F64"/>
    <w:rsid w:val="00DA4311"/>
    <w:rsid w:val="00DA5208"/>
    <w:rsid w:val="00DA5967"/>
    <w:rsid w:val="00DA5A7A"/>
    <w:rsid w:val="00DA5BC0"/>
    <w:rsid w:val="00DA71DB"/>
    <w:rsid w:val="00DB2AA1"/>
    <w:rsid w:val="00DB42ED"/>
    <w:rsid w:val="00DB6131"/>
    <w:rsid w:val="00DB76A3"/>
    <w:rsid w:val="00DB76B3"/>
    <w:rsid w:val="00DC1667"/>
    <w:rsid w:val="00DC209B"/>
    <w:rsid w:val="00DC2319"/>
    <w:rsid w:val="00DC3431"/>
    <w:rsid w:val="00DC7A16"/>
    <w:rsid w:val="00DD1416"/>
    <w:rsid w:val="00DD1ECD"/>
    <w:rsid w:val="00DD2E54"/>
    <w:rsid w:val="00DD44ED"/>
    <w:rsid w:val="00DE3BE2"/>
    <w:rsid w:val="00DE4317"/>
    <w:rsid w:val="00DE466A"/>
    <w:rsid w:val="00DE56AB"/>
    <w:rsid w:val="00DE57B4"/>
    <w:rsid w:val="00DE6FC9"/>
    <w:rsid w:val="00DF1F95"/>
    <w:rsid w:val="00DF2A8F"/>
    <w:rsid w:val="00DF4CAA"/>
    <w:rsid w:val="00DF71A0"/>
    <w:rsid w:val="00E0512F"/>
    <w:rsid w:val="00E142DD"/>
    <w:rsid w:val="00E145D9"/>
    <w:rsid w:val="00E20897"/>
    <w:rsid w:val="00E23619"/>
    <w:rsid w:val="00E23E35"/>
    <w:rsid w:val="00E24358"/>
    <w:rsid w:val="00E25A9D"/>
    <w:rsid w:val="00E27773"/>
    <w:rsid w:val="00E30A63"/>
    <w:rsid w:val="00E3174F"/>
    <w:rsid w:val="00E33FC8"/>
    <w:rsid w:val="00E436BE"/>
    <w:rsid w:val="00E516DD"/>
    <w:rsid w:val="00E538CF"/>
    <w:rsid w:val="00E5524A"/>
    <w:rsid w:val="00E60470"/>
    <w:rsid w:val="00E60EEA"/>
    <w:rsid w:val="00E62BBE"/>
    <w:rsid w:val="00E641E9"/>
    <w:rsid w:val="00E65418"/>
    <w:rsid w:val="00E67492"/>
    <w:rsid w:val="00E7394F"/>
    <w:rsid w:val="00E75D40"/>
    <w:rsid w:val="00E76BF7"/>
    <w:rsid w:val="00E77240"/>
    <w:rsid w:val="00E850F0"/>
    <w:rsid w:val="00E856D5"/>
    <w:rsid w:val="00E862E1"/>
    <w:rsid w:val="00E86339"/>
    <w:rsid w:val="00E90361"/>
    <w:rsid w:val="00E90698"/>
    <w:rsid w:val="00E92C13"/>
    <w:rsid w:val="00EA139F"/>
    <w:rsid w:val="00EA146C"/>
    <w:rsid w:val="00EA2D59"/>
    <w:rsid w:val="00EA38A1"/>
    <w:rsid w:val="00EA5BE8"/>
    <w:rsid w:val="00EA7157"/>
    <w:rsid w:val="00EA7B24"/>
    <w:rsid w:val="00EB0942"/>
    <w:rsid w:val="00EB0EF4"/>
    <w:rsid w:val="00EC1CC6"/>
    <w:rsid w:val="00EC3D84"/>
    <w:rsid w:val="00EC4B70"/>
    <w:rsid w:val="00EC7E5C"/>
    <w:rsid w:val="00ED3856"/>
    <w:rsid w:val="00ED75AC"/>
    <w:rsid w:val="00EE08A9"/>
    <w:rsid w:val="00EE0A9F"/>
    <w:rsid w:val="00EE2A27"/>
    <w:rsid w:val="00EE58BB"/>
    <w:rsid w:val="00EF021D"/>
    <w:rsid w:val="00EF13F9"/>
    <w:rsid w:val="00EF15E6"/>
    <w:rsid w:val="00EF2064"/>
    <w:rsid w:val="00EF2C9E"/>
    <w:rsid w:val="00EF4E65"/>
    <w:rsid w:val="00EF5FAA"/>
    <w:rsid w:val="00EF6D1B"/>
    <w:rsid w:val="00EF71FE"/>
    <w:rsid w:val="00F0364B"/>
    <w:rsid w:val="00F03845"/>
    <w:rsid w:val="00F03FE3"/>
    <w:rsid w:val="00F05793"/>
    <w:rsid w:val="00F05EA8"/>
    <w:rsid w:val="00F06520"/>
    <w:rsid w:val="00F07512"/>
    <w:rsid w:val="00F108AF"/>
    <w:rsid w:val="00F136F8"/>
    <w:rsid w:val="00F13811"/>
    <w:rsid w:val="00F149B1"/>
    <w:rsid w:val="00F15C78"/>
    <w:rsid w:val="00F22F6E"/>
    <w:rsid w:val="00F235CD"/>
    <w:rsid w:val="00F24B12"/>
    <w:rsid w:val="00F2656F"/>
    <w:rsid w:val="00F41AC4"/>
    <w:rsid w:val="00F43066"/>
    <w:rsid w:val="00F43F5D"/>
    <w:rsid w:val="00F4527C"/>
    <w:rsid w:val="00F5040D"/>
    <w:rsid w:val="00F50695"/>
    <w:rsid w:val="00F50C46"/>
    <w:rsid w:val="00F53115"/>
    <w:rsid w:val="00F53404"/>
    <w:rsid w:val="00F54B1E"/>
    <w:rsid w:val="00F54CAD"/>
    <w:rsid w:val="00F60048"/>
    <w:rsid w:val="00F600EE"/>
    <w:rsid w:val="00F60B2D"/>
    <w:rsid w:val="00F6186C"/>
    <w:rsid w:val="00F6515B"/>
    <w:rsid w:val="00F66A8E"/>
    <w:rsid w:val="00F67C51"/>
    <w:rsid w:val="00F70E12"/>
    <w:rsid w:val="00F7140E"/>
    <w:rsid w:val="00F7305C"/>
    <w:rsid w:val="00F7399C"/>
    <w:rsid w:val="00F74DB6"/>
    <w:rsid w:val="00F81807"/>
    <w:rsid w:val="00F824CE"/>
    <w:rsid w:val="00F82880"/>
    <w:rsid w:val="00F83760"/>
    <w:rsid w:val="00F853DC"/>
    <w:rsid w:val="00F92874"/>
    <w:rsid w:val="00F950A3"/>
    <w:rsid w:val="00FA4E06"/>
    <w:rsid w:val="00FB0C35"/>
    <w:rsid w:val="00FB252B"/>
    <w:rsid w:val="00FB2C7B"/>
    <w:rsid w:val="00FB3D8C"/>
    <w:rsid w:val="00FB4A71"/>
    <w:rsid w:val="00FB5026"/>
    <w:rsid w:val="00FB5706"/>
    <w:rsid w:val="00FB7E00"/>
    <w:rsid w:val="00FC3393"/>
    <w:rsid w:val="00FC3579"/>
    <w:rsid w:val="00FC4B2D"/>
    <w:rsid w:val="00FD11BC"/>
    <w:rsid w:val="00FD2119"/>
    <w:rsid w:val="00FD5ACC"/>
    <w:rsid w:val="00FD6175"/>
    <w:rsid w:val="00FE2760"/>
    <w:rsid w:val="00FE4B49"/>
    <w:rsid w:val="00FF2E65"/>
    <w:rsid w:val="00FF3BD3"/>
    <w:rsid w:val="00FF553F"/>
    <w:rsid w:val="00FF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A4"/>
  </w:style>
  <w:style w:type="paragraph" w:styleId="Ttulo1">
    <w:name w:val="heading 1"/>
    <w:basedOn w:val="Normal"/>
    <w:next w:val="Normal"/>
    <w:link w:val="Ttulo1Car"/>
    <w:uiPriority w:val="9"/>
    <w:qFormat/>
    <w:rsid w:val="00EE0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CB75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B75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75D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EE0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EE08A9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EE08A9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EE08A9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E08A9"/>
    <w:pPr>
      <w:spacing w:after="100"/>
      <w:ind w:left="440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8A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0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9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F7C"/>
  </w:style>
  <w:style w:type="paragraph" w:styleId="Piedepgina">
    <w:name w:val="footer"/>
    <w:basedOn w:val="Normal"/>
    <w:link w:val="PiedepginaCar"/>
    <w:uiPriority w:val="99"/>
    <w:unhideWhenUsed/>
    <w:rsid w:val="0079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F7C"/>
  </w:style>
  <w:style w:type="character" w:styleId="Refdecomentario">
    <w:name w:val="annotation reference"/>
    <w:basedOn w:val="Fuentedeprrafopredeter"/>
    <w:uiPriority w:val="99"/>
    <w:semiHidden/>
    <w:unhideWhenUsed/>
    <w:rsid w:val="000223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23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23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23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235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95C5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B2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F0D004227E24C99867AB7E9B98B99" ma:contentTypeVersion="18" ma:contentTypeDescription="Crear nuevo documento." ma:contentTypeScope="" ma:versionID="5ae2b036f26680494d4136aeb409cb71">
  <xsd:schema xmlns:xsd="http://www.w3.org/2001/XMLSchema" xmlns:xs="http://www.w3.org/2001/XMLSchema" xmlns:p="http://schemas.microsoft.com/office/2006/metadata/properties" xmlns:ns2="72a6d42e-c741-46a8-b0cd-74e32e23a770" xmlns:ns3="00ebdcb9-fa78-4a01-aa7d-c0fcb750f293" targetNamespace="http://schemas.microsoft.com/office/2006/metadata/properties" ma:root="true" ma:fieldsID="d3bb68f34f9b5096a8f30723d8348854" ns2:_="" ns3:_="">
    <xsd:import namespace="72a6d42e-c741-46a8-b0cd-74e32e23a770"/>
    <xsd:import namespace="00ebdcb9-fa78-4a01-aa7d-c0fcb750f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6d42e-c741-46a8-b0cd-74e32e23a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c42348-db29-4e0c-a638-a876961e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bdcb9-fa78-4a01-aa7d-c0fcb750f2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0e236e-47d1-47b0-9e6a-5be110ed3274}" ma:internalName="TaxCatchAll" ma:showField="CatchAllData" ma:web="00ebdcb9-fa78-4a01-aa7d-c0fcb750f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bdcb9-fa78-4a01-aa7d-c0fcb750f293" xsi:nil="true"/>
    <lcf76f155ced4ddcb4097134ff3c332f xmlns="72a6d42e-c741-46a8-b0cd-74e32e23a7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79EF-00B4-40E3-8D0F-27620DCDE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6d42e-c741-46a8-b0cd-74e32e23a770"/>
    <ds:schemaRef ds:uri="00ebdcb9-fa78-4a01-aa7d-c0fcb750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E53A5-2416-4B54-B646-5DA8091C9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EF714-AB75-4F0F-ADC9-AEB5D14F93EE}">
  <ds:schemaRefs>
    <ds:schemaRef ds:uri="http://schemas.microsoft.com/office/2006/metadata/properties"/>
    <ds:schemaRef ds:uri="http://schemas.microsoft.com/office/infopath/2007/PartnerControls"/>
    <ds:schemaRef ds:uri="00ebdcb9-fa78-4a01-aa7d-c0fcb750f293"/>
    <ds:schemaRef ds:uri="72a6d42e-c741-46a8-b0cd-74e32e23a770"/>
  </ds:schemaRefs>
</ds:datastoreItem>
</file>

<file path=customXml/itemProps4.xml><?xml version="1.0" encoding="utf-8"?>
<ds:datastoreItem xmlns:ds="http://schemas.openxmlformats.org/officeDocument/2006/customXml" ds:itemID="{BC7CB0C8-6E53-4D2B-9FA2-EC6FBA8C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5954</Words>
  <Characters>33581</Characters>
  <Application>Microsoft Office Word</Application>
  <DocSecurity>0</DocSecurity>
  <Lines>959</Lines>
  <Paragraphs>420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Hernando</dc:creator>
  <cp:lastModifiedBy>Alberto Puig Higuera</cp:lastModifiedBy>
  <cp:revision>39</cp:revision>
  <cp:lastPrinted>2025-02-21T07:50:00Z</cp:lastPrinted>
  <dcterms:created xsi:type="dcterms:W3CDTF">2025-02-21T12:46:00Z</dcterms:created>
  <dcterms:modified xsi:type="dcterms:W3CDTF">2025-02-24T11:51:00Z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0x010100303F0D004227E24C99867AB7E9B98B99</vt:lpwstr>
  </property>
  <property fmtid="{D5CDD505-2E9C-101B-9397-08002B2CF9AE}" pid="3" name="MediaServiceImageTags">
    <vt:lpwstr/>
  </property>
</Properties>
</file>